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5D29" w14:textId="77777777" w:rsidR="00467797" w:rsidRDefault="00000000">
      <w:pPr>
        <w:ind w:left="48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№ 1</w:t>
      </w:r>
    </w:p>
    <w:p w14:paraId="55AACB2E" w14:textId="31C8401C" w:rsidR="00467797" w:rsidRDefault="00000000">
      <w:pPr>
        <w:ind w:left="4840"/>
        <w:jc w:val="both"/>
        <w:rPr>
          <w:rFonts w:ascii="PT Astra Serif" w:hAnsi="PT Astra Serif" w:cs="PT Astra Serif"/>
          <w:bCs/>
        </w:rPr>
      </w:pPr>
      <w:r>
        <w:rPr>
          <w:rFonts w:ascii="Times New Roman" w:eastAsia="Times New Roman" w:hAnsi="Times New Roman" w:cs="Times New Roman"/>
        </w:rPr>
        <w:t>к решению Совета депутатов муниципального образования «Муниципальный округ Красногорский район Удмуртской Республики» от «19» декабря 20</w:t>
      </w:r>
      <w:r w:rsidRPr="00AD5823"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г. № 323</w:t>
      </w:r>
    </w:p>
    <w:p w14:paraId="14418306" w14:textId="77777777" w:rsidR="00467797" w:rsidRDefault="00467797">
      <w:pPr>
        <w:pStyle w:val="ConsPlusTitle"/>
        <w:jc w:val="center"/>
        <w:rPr>
          <w:rFonts w:ascii="PT Astra Serif" w:hAnsi="PT Astra Serif" w:cs="PT Astra Serif"/>
        </w:rPr>
      </w:pPr>
    </w:p>
    <w:p w14:paraId="304C3274" w14:textId="77777777" w:rsidR="00467797" w:rsidRDefault="00467797">
      <w:pPr>
        <w:pStyle w:val="ConsPlusTitle"/>
        <w:jc w:val="center"/>
        <w:rPr>
          <w:rFonts w:ascii="PT Astra Serif" w:hAnsi="PT Astra Serif" w:cs="PT Astra Serif"/>
        </w:rPr>
      </w:pPr>
    </w:p>
    <w:p w14:paraId="76386B99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</w:t>
      </w:r>
    </w:p>
    <w:p w14:paraId="6D84B627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ГРАДОСТРОИТЕЛЬНОГО ПРОЕКТИРОВАНИЯ МУНИЦИПАЛЬНОГО ОБРАЗОВАНИЯ</w:t>
      </w:r>
    </w:p>
    <w:p w14:paraId="174CF3D3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"МУНИЦИПАЛЬНЫЙ ОКРУГ КРАСНОГОРСКИЙ РАЙОН УДМУРТСКОЙ РЕСПУБЛИКИ"</w:t>
      </w:r>
    </w:p>
    <w:p w14:paraId="7E32B0A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9AFF00C" w14:textId="77777777" w:rsidR="00467797" w:rsidRDefault="00000000">
      <w:pPr>
        <w:pStyle w:val="ConsPlusTitle"/>
        <w:jc w:val="center"/>
        <w:outlineLvl w:val="1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Раздел I. ОСНОВНАЯ ЧАСТЬ. РАСЧЕТНЫЕ ПОКАЗАТЕЛИ МИНИМАЛЬНО</w:t>
      </w:r>
    </w:p>
    <w:p w14:paraId="6D990673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ДОПУСТИМОГО УРОВНЯ ОБЕСПЕЧЕННОСТИ ОБЪЕКТАМИ МЕСТНОГО</w:t>
      </w:r>
    </w:p>
    <w:p w14:paraId="229960FE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ЗНАЧЕНИЯ МУНИЦИПАЛЬНОГО РАЙОНА И РАСЧЕТНЫЕ ПОКАЗАТЕЛИ</w:t>
      </w:r>
    </w:p>
    <w:p w14:paraId="712AA372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МАКСИМАЛЬНО ДОПУСТИМОГО УРОВНЯ ТЕРРИТОРИАЛЬНОЙ ДОСТУПНОСТИ</w:t>
      </w:r>
    </w:p>
    <w:p w14:paraId="0BCD4EF1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ТАКИХ ОБЪЕКТОВ ДЛЯ НАСЕЛЕНИЯ МУНИЦИПАЛЬНОГО РАЙОНА</w:t>
      </w:r>
    </w:p>
    <w:p w14:paraId="5E5A373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604ED48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1. Общие положения</w:t>
      </w:r>
    </w:p>
    <w:p w14:paraId="460FB4C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3962288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Подготовка нормативов градостроительного проектирования муниципального образования "Муниципальный округ Красногорский район Удмуртской Республики" (далее - нормативы) осуществлена на основании Градостроительного </w:t>
      </w:r>
      <w:hyperlink r:id="rId6">
        <w:r>
          <w:rPr>
            <w:rFonts w:ascii="PT Astra Serif" w:hAnsi="PT Astra Serif" w:cs="PT Astra Serif"/>
            <w:color w:val="0000FF"/>
          </w:rPr>
          <w:t>кодекса</w:t>
        </w:r>
      </w:hyperlink>
      <w:r>
        <w:rPr>
          <w:rFonts w:ascii="PT Astra Serif" w:hAnsi="PT Astra Serif" w:cs="PT Astra Serif"/>
        </w:rPr>
        <w:t xml:space="preserve"> Российской Федерации, </w:t>
      </w:r>
      <w:hyperlink r:id="rId7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Удмуртской Республики от 06.03.2014 N 3-РЗ "О градостроительной деятельности в Удмуртской Республике" и </w:t>
      </w:r>
      <w:hyperlink r:id="rId8">
        <w:r>
          <w:rPr>
            <w:rFonts w:ascii="PT Astra Serif" w:hAnsi="PT Astra Serif" w:cs="PT Astra Serif"/>
            <w:color w:val="0000FF"/>
          </w:rPr>
          <w:t>приказа</w:t>
        </w:r>
      </w:hyperlink>
      <w:r>
        <w:rPr>
          <w:rFonts w:ascii="PT Astra Serif" w:hAnsi="PT Astra Serif" w:cs="PT Astra Serif"/>
        </w:rPr>
        <w:t xml:space="preserve"> Минэкономразвития России от 15.02.2021 N 71.</w:t>
      </w:r>
    </w:p>
    <w:p w14:paraId="11B7B41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Нормативы разработаны в соответствии со </w:t>
      </w:r>
      <w:hyperlink r:id="rId9">
        <w:r>
          <w:rPr>
            <w:rFonts w:ascii="PT Astra Serif" w:hAnsi="PT Astra Serif" w:cs="PT Astra Serif"/>
            <w:color w:val="0000FF"/>
          </w:rPr>
          <w:t>статьей 8</w:t>
        </w:r>
      </w:hyperlink>
      <w:r>
        <w:rPr>
          <w:rFonts w:ascii="PT Astra Serif" w:hAnsi="PT Astra Serif" w:cs="PT Astra Serif"/>
        </w:rPr>
        <w:t xml:space="preserve"> Градостроительного кодекса Российской Федерации в целях реализации полномочий Администрации муниципального образования "Муниципальный округ Красногорский район Удмуртской Республики" и включения нормативов в систему нормативных документов, регламентирующих градостроительную деятельность на территории муниципального образования "Муниципальный округ Красногорский район Удмуртской Республики" (далее - Красногорский район, муниципальный район).</w:t>
      </w:r>
    </w:p>
    <w:p w14:paraId="4F85AE4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устанавливают совокупность расчетных показателей минимально допустимого уровня обеспеченности объектами местного значения Красногорского района и расчетных показателей максимально допустимого уровня территориальной доступности таких объектов для населения Красногорского района в целях обеспечения благоприятных условий жизнедеятельности населения (далее - совокупность расчетных показателей, расчетные показатели).</w:t>
      </w:r>
    </w:p>
    <w:p w14:paraId="567BA94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Расчетные показатели минимально допустимого уровня обеспеченности объектами местного значения населения Красногорского района, устанавливаемые настоящими нормативами, приняты не ниже предельных значений расчетных показателей минимально допустимого уровня обеспеченности, установленных в </w:t>
      </w:r>
      <w:hyperlink r:id="rId10">
        <w:r>
          <w:rPr>
            <w:rFonts w:ascii="PT Astra Serif" w:hAnsi="PT Astra Serif" w:cs="PT Astra Serif"/>
            <w:color w:val="0000FF"/>
          </w:rPr>
          <w:t>Нормативах</w:t>
        </w:r>
      </w:hyperlink>
      <w:r>
        <w:rPr>
          <w:rFonts w:ascii="PT Astra Serif" w:hAnsi="PT Astra Serif" w:cs="PT Astra Serif"/>
        </w:rPr>
        <w:t xml:space="preserve"> градостроительного проектирования Удмуртской Республики, утвержденных постановлением Правительства Удмуртской Республики от 04.06.2019 N 228 (далее - Нормативы градостроительного проектирования Республики).</w:t>
      </w:r>
    </w:p>
    <w:p w14:paraId="611A715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максимально допустимого уровня территориальной доступности объектов местного значения для населения Красногорского района, устанавливаемые настоящими нормативами, приняты не выше предельных значений расчетных показателей максимально допустимого уровня территориальной доступности, установленных в Нормативах градостроительного проектирования Удмуртской Республики.</w:t>
      </w:r>
    </w:p>
    <w:p w14:paraId="4E7C1C2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lastRenderedPageBreak/>
        <w:t>Нормативы разработаны в соответствии с требованиями законодательства о градостроительной деятельности Российской Федерации и Удмуртской Республики, технических регламентов, нормативных документов, регулирующих градостроительство. При отмене и/или изменении действующих нормативных документов, в том числе тех, на которые дается ссылка в настоящих нормах, следует руководствоваться нормами, вводимыми взамен отмененных.</w:t>
      </w:r>
    </w:p>
    <w:p w14:paraId="0A5111C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Применение настоящих нормативов не заменяет и не исключает применения требований технических регламентов, национальных стандартов, сводов правил, правил и требований, установленных органами государственного контроля (надзора).</w:t>
      </w:r>
    </w:p>
    <w:p w14:paraId="63240B0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Настоящие нормативы устанавливают требования, обязательные для всех субъектов градостроительных отношений, осуществляющих свою деятельность на территории Красногорского района Удмуртской Республики, независимо от их организационно-правовой формы.</w:t>
      </w:r>
    </w:p>
    <w:p w14:paraId="78C828E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 расчетным показателям, содержащим указание на рекомендательное применение, допускается отклонение от установленных значений при условии дополнительного обоснования причин и размеров отклонений, в том числе в материалах по обоснованию документов территориального планирования и (или) документации по планировке территории.</w:t>
      </w:r>
    </w:p>
    <w:p w14:paraId="31D59DC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отсутствии расчетных показателей для отдельных объектов следует руководствоваться Нормативами градостроительного проектирования Удмуртской Республики, нормативными правовыми и нормативно-техническими документами Российской Федерации.</w:t>
      </w:r>
    </w:p>
    <w:p w14:paraId="6B11B06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0A86D14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2. Перечень объектов местного значения</w:t>
      </w:r>
    </w:p>
    <w:p w14:paraId="786D6B3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8B6D362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Объекты местного значения муниципального района, отображаемые в генеральном плане сельского поселения, определяются в соответствии с требованиями Градостроительного </w:t>
      </w:r>
      <w:hyperlink r:id="rId11">
        <w:r>
          <w:rPr>
            <w:rFonts w:ascii="PT Astra Serif" w:hAnsi="PT Astra Serif" w:cs="PT Astra Serif"/>
            <w:color w:val="0000FF"/>
          </w:rPr>
          <w:t>кодекса</w:t>
        </w:r>
      </w:hyperlink>
      <w:r>
        <w:rPr>
          <w:rFonts w:ascii="PT Astra Serif" w:hAnsi="PT Astra Serif" w:cs="PT Astra Serif"/>
        </w:rPr>
        <w:t xml:space="preserve"> Российской Федерации, Федерального </w:t>
      </w:r>
      <w:hyperlink r:id="rId12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от 06.10.2003 N 131-ФЗ "Об общих принципах организации местного самоуправления в Российской Федерации" и </w:t>
      </w:r>
      <w:hyperlink r:id="rId13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Удмуртской Республики от 06.03.2014 N 3-РЗ "О градостроительной деятельности в Удмуртской Республике".</w:t>
      </w:r>
    </w:p>
    <w:p w14:paraId="38D8054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значения, подлежащих отображению в схеме территориального планирования муниципального района, приведены в соответствующих разделах настоящих нормативов.</w:t>
      </w:r>
    </w:p>
    <w:p w14:paraId="524F7B3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E36C193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3. Функциональное зонирование территории</w:t>
      </w:r>
    </w:p>
    <w:p w14:paraId="25AD0104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Муниципального района</w:t>
      </w:r>
    </w:p>
    <w:p w14:paraId="790CBD6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8CB3F81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территориальном планировании отображаются границы муниципального района и входящих в его состав поселений. При подготовке схемы территориального планирования муниципального район функциональное зонирование осуществляется в границах межселенных территорий.</w:t>
      </w:r>
    </w:p>
    <w:p w14:paraId="28503A7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подготовке схемы территориального планирования Красногорского района функциональное зонирование его территорий не осуществляется в связи с отсутствием в границах муниципального образования межселенных территорий.</w:t>
      </w:r>
    </w:p>
    <w:p w14:paraId="28DFB1C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Зонирование территории муниципального района осуществляет с учетом системы формируемых центров обслуживания и зон их влияния.</w:t>
      </w:r>
    </w:p>
    <w:p w14:paraId="28B43B9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В целях создания экономически целесообразной ступенчатой системы культурно-бытового обслуживания населения муниципального района за основу при определении состава объектов обслуживания, размещаемых на территории муниципального района, принимается </w:t>
      </w:r>
      <w:r>
        <w:rPr>
          <w:rFonts w:ascii="PT Astra Serif" w:hAnsi="PT Astra Serif" w:cs="PT Astra Serif"/>
        </w:rPr>
        <w:lastRenderedPageBreak/>
        <w:t>периодичность посещения различных объектов. Всего выделяется три уровня периодичности посещения с учетом обеспеченности объектами обслуживания, которые приведены в таблице 3.1.</w:t>
      </w:r>
    </w:p>
    <w:p w14:paraId="255F0C5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A682796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3.1</w:t>
      </w:r>
    </w:p>
    <w:p w14:paraId="18C38D1F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7208"/>
      </w:tblGrid>
      <w:tr w:rsidR="00467797" w14:paraId="5B61C591" w14:textId="77777777">
        <w:tc>
          <w:tcPr>
            <w:tcW w:w="2211" w:type="dxa"/>
          </w:tcPr>
          <w:p w14:paraId="210999C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уровня</w:t>
            </w:r>
          </w:p>
        </w:tc>
        <w:tc>
          <w:tcPr>
            <w:tcW w:w="7208" w:type="dxa"/>
          </w:tcPr>
          <w:p w14:paraId="085C637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Нормативные параметры</w:t>
            </w:r>
          </w:p>
        </w:tc>
      </w:tr>
      <w:tr w:rsidR="00467797" w14:paraId="4872A3F7" w14:textId="77777777">
        <w:tc>
          <w:tcPr>
            <w:tcW w:w="2211" w:type="dxa"/>
          </w:tcPr>
          <w:p w14:paraId="50E541F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Повседневное обслуживание</w:t>
            </w:r>
          </w:p>
        </w:tc>
        <w:tc>
          <w:tcPr>
            <w:tcW w:w="7208" w:type="dxa"/>
          </w:tcPr>
          <w:p w14:paraId="0621597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Объекты, посещаемые населением не реже одного раза в неделю, или те, которые должны быть расположены в непосредственной близости к местам проживания и работы населения. Данные объекты должны обслуживать население, проживающее в радиусе пешеходной (транспортной) доступности 10 - 20 минут от них, а также за счет выездных форм</w:t>
            </w:r>
          </w:p>
        </w:tc>
      </w:tr>
      <w:tr w:rsidR="00467797" w14:paraId="048FF0BC" w14:textId="77777777">
        <w:tc>
          <w:tcPr>
            <w:tcW w:w="2211" w:type="dxa"/>
          </w:tcPr>
          <w:p w14:paraId="7109243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Периодическое обслуживание</w:t>
            </w:r>
          </w:p>
        </w:tc>
        <w:tc>
          <w:tcPr>
            <w:tcW w:w="7208" w:type="dxa"/>
          </w:tcPr>
          <w:p w14:paraId="06BFBBB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Объекты, посещаемые населением не реже одного раза в месяц. На перспективу данные объекты должны размещаться в районном центре, центрах и подцентрах системы расселения и обслуживать население, проживающее в пределах транспортной доступности 30 мин. - 2 ч.</w:t>
            </w:r>
          </w:p>
        </w:tc>
      </w:tr>
      <w:tr w:rsidR="00467797" w14:paraId="59E427D1" w14:textId="77777777">
        <w:tc>
          <w:tcPr>
            <w:tcW w:w="2211" w:type="dxa"/>
          </w:tcPr>
          <w:p w14:paraId="21130CB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Эпизодическое обслуживание</w:t>
            </w:r>
          </w:p>
        </w:tc>
        <w:tc>
          <w:tcPr>
            <w:tcW w:w="7208" w:type="dxa"/>
          </w:tcPr>
          <w:p w14:paraId="72DB15E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Объекты, посещаемые населением муниципального района реже одного раза в месяц. Размещаются в республиканском центре, межрайонных центрах обслуживания. Радиус территориальной доступности - не более 2 ч.</w:t>
            </w:r>
          </w:p>
        </w:tc>
      </w:tr>
    </w:tbl>
    <w:p w14:paraId="20D8622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83A5B38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 учетом установленных уровней обслуживания населения в Красногорском районе следует формировать многофункциональную систему обслуживания в соответствии с таблицей 3.2.</w:t>
      </w:r>
    </w:p>
    <w:p w14:paraId="61CA402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70BAC40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3.2</w:t>
      </w:r>
    </w:p>
    <w:p w14:paraId="05DBE0C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7208"/>
      </w:tblGrid>
      <w:tr w:rsidR="00467797" w14:paraId="25C473CC" w14:textId="77777777">
        <w:tc>
          <w:tcPr>
            <w:tcW w:w="2211" w:type="dxa"/>
          </w:tcPr>
          <w:p w14:paraId="5F4BF23C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центра обслуживания</w:t>
            </w:r>
          </w:p>
        </w:tc>
        <w:tc>
          <w:tcPr>
            <w:tcW w:w="7208" w:type="dxa"/>
          </w:tcPr>
          <w:p w14:paraId="7F98D8DC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Нормативные параметры</w:t>
            </w:r>
          </w:p>
        </w:tc>
      </w:tr>
      <w:tr w:rsidR="00467797" w14:paraId="246EE4D4" w14:textId="77777777">
        <w:tc>
          <w:tcPr>
            <w:tcW w:w="2211" w:type="dxa"/>
          </w:tcPr>
          <w:p w14:paraId="7C9B26F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Центр муниципального района (с. Красногорское)</w:t>
            </w:r>
          </w:p>
        </w:tc>
        <w:tc>
          <w:tcPr>
            <w:tcW w:w="7208" w:type="dxa"/>
          </w:tcPr>
          <w:p w14:paraId="67327AA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Центр должен концентрировать объекты повседневного и периодического обслуживания населения муниципального района в радиусе транспортной доступности 1,5 - 2 ч.</w:t>
            </w:r>
          </w:p>
          <w:p w14:paraId="1697C65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 превышении этого радиуса следует создавать подцентры обслуживания.</w:t>
            </w:r>
          </w:p>
          <w:p w14:paraId="579FB1A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Уровень центра - набор ряда объектов для повседневного и периодического обслуживания населения</w:t>
            </w:r>
          </w:p>
        </w:tc>
      </w:tr>
      <w:tr w:rsidR="00467797" w14:paraId="02E4CA76" w14:textId="77777777">
        <w:tc>
          <w:tcPr>
            <w:tcW w:w="2211" w:type="dxa"/>
          </w:tcPr>
          <w:p w14:paraId="4D4D635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Центр территориального управления</w:t>
            </w:r>
          </w:p>
        </w:tc>
        <w:tc>
          <w:tcPr>
            <w:tcW w:w="7208" w:type="dxa"/>
          </w:tcPr>
          <w:p w14:paraId="2CE9080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Уровень центра - полный набор объектов повседневного обслуживания, расположенных в непосредственной близости к местам проживания и работы населения. Радиус обслуживания - в пределах 10 - 20-минутной пешеходно-транспортной доступности</w:t>
            </w:r>
          </w:p>
        </w:tc>
      </w:tr>
      <w:tr w:rsidR="00467797" w14:paraId="6F921B1E" w14:textId="77777777">
        <w:tc>
          <w:tcPr>
            <w:tcW w:w="2211" w:type="dxa"/>
          </w:tcPr>
          <w:p w14:paraId="1E37B7E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Центр территориального отдела</w:t>
            </w:r>
          </w:p>
        </w:tc>
        <w:tc>
          <w:tcPr>
            <w:tcW w:w="7208" w:type="dxa"/>
          </w:tcPr>
          <w:p w14:paraId="5A970B1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Уровень центра - полный набор объектов повседневного обслуживания, расположенных в непосредственной близости к местам проживания и работы населения. Радиус обслуживания - в пределах 10 - 20-минутной пешеходно-транспортной доступности</w:t>
            </w:r>
          </w:p>
        </w:tc>
      </w:tr>
    </w:tbl>
    <w:p w14:paraId="532747F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50057CC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 функциональном зонировании территории муниципального образования учитываются зоны с особыми условиями использования территорий, из перечня установленных в соответствии </w:t>
      </w:r>
      <w:r>
        <w:rPr>
          <w:rFonts w:ascii="PT Astra Serif" w:hAnsi="PT Astra Serif" w:cs="PT Astra Serif"/>
        </w:rPr>
        <w:lastRenderedPageBreak/>
        <w:t>с законодательством Российской Федерации:</w:t>
      </w:r>
    </w:p>
    <w:p w14:paraId="1935062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1) зоны охраны объектов культурного наследия;</w:t>
      </w:r>
    </w:p>
    <w:p w14:paraId="2238CB6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2) защитная зона объекта культурного наследия;</w:t>
      </w:r>
    </w:p>
    <w:p w14:paraId="77DEDBD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3) охранная зона объектов электроэнергетики (объектов электросетевого хозяйства и объектов по производству электрической энергии);</w:t>
      </w:r>
    </w:p>
    <w:p w14:paraId="3BA5C41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4) придорожные полосы автомобильных дорог;</w:t>
      </w:r>
    </w:p>
    <w:p w14:paraId="61617F1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5) охранная зона трубопроводов (газопроводов, нефтепроводов и нефтепродуктопроводов, аммиакопроводов);</w:t>
      </w:r>
    </w:p>
    <w:p w14:paraId="7455D7D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6) охранная зона линий и сооружений связи;</w:t>
      </w:r>
    </w:p>
    <w:p w14:paraId="1C474E2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7) зона охраняемого объекта;</w:t>
      </w:r>
    </w:p>
    <w:p w14:paraId="768E9E7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8) охранная зона особо охраняемой природной территории (государственного природного заповедника, национального парка, природного парка, памятника природы);</w:t>
      </w:r>
    </w:p>
    <w:p w14:paraId="586202B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9) водоохранная (рыбоохранная) зона;</w:t>
      </w:r>
    </w:p>
    <w:p w14:paraId="430EE50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10) прибрежная защитная полоса;</w:t>
      </w:r>
    </w:p>
    <w:p w14:paraId="2D75CA8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11) округ санитарной (горно-санитарной) охраны лечебно-оздоровительных местностей, курортов и природных лечебных ресурсов;</w:t>
      </w:r>
    </w:p>
    <w:p w14:paraId="1AE7C70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12) зоны санитарной охраны источников питьевого и хозяйственно-бытового водоснабжения, а также устанавливаемые в случаях, предусмотренных Водным </w:t>
      </w:r>
      <w:hyperlink r:id="rId14">
        <w:r>
          <w:rPr>
            <w:rFonts w:ascii="PT Astra Serif" w:hAnsi="PT Astra Serif" w:cs="PT Astra Serif"/>
            <w:color w:val="0000FF"/>
          </w:rPr>
          <w:t>кодексом</w:t>
        </w:r>
      </w:hyperlink>
      <w:r>
        <w:rPr>
          <w:rFonts w:ascii="PT Astra Serif" w:hAnsi="PT Astra Serif" w:cs="PT Astra Serif"/>
        </w:rPr>
        <w:t xml:space="preserve"> Российской Федерации, в отношении подземных водных объектов зоны специальной охраны;</w:t>
      </w:r>
    </w:p>
    <w:p w14:paraId="48CC4365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13) зоны затопления и подтопления;</w:t>
      </w:r>
    </w:p>
    <w:p w14:paraId="5F42555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14) санитарно-защитная зона;</w:t>
      </w:r>
    </w:p>
    <w:p w14:paraId="0ED056F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15) охранная зона пунктов государственной геодезической сети, государственной нивелирной сети и государственной гравиметрической сети;</w:t>
      </w:r>
    </w:p>
    <w:p w14:paraId="69A5780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16) зона наблюдения;</w:t>
      </w:r>
    </w:p>
    <w:p w14:paraId="0BFAA22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17) зона безопасности с особым правовым режимом;</w:t>
      </w:r>
    </w:p>
    <w:p w14:paraId="292A699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18) рыбохозяйственная заповедная зона;</w:t>
      </w:r>
    </w:p>
    <w:p w14:paraId="5B216FA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19) зона минимальных расстояний до магистральных или промышленных трубопроводов (газопроводов, нефтепроводов и нефтепродуктопроводов, аммиакопроводов);</w:t>
      </w:r>
    </w:p>
    <w:p w14:paraId="2CC5B43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20) охранная зона тепловых сетей.</w:t>
      </w:r>
    </w:p>
    <w:p w14:paraId="37A035B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Границы зон с особыми условиями использования территорий, в том числе границы территорий объектов культурного наследия, устанавливаемые в соответствии с законодательством Российской Федерации, могут не совпадать с границами функциональных зон, установленных на территорий поселений муниципального района.</w:t>
      </w:r>
    </w:p>
    <w:p w14:paraId="1839981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Перспективы развития Красногорского района Удмуртской Республики и входящих в его состав сельских поселений в документах территориального планирования (схеме территориального планирования муниципального района, генеральных планах поселений) с </w:t>
      </w:r>
      <w:r>
        <w:rPr>
          <w:rFonts w:ascii="PT Astra Serif" w:hAnsi="PT Astra Serif" w:cs="PT Astra Serif"/>
        </w:rPr>
        <w:lastRenderedPageBreak/>
        <w:t>учетом потребности в резервных территориях.</w:t>
      </w:r>
    </w:p>
    <w:p w14:paraId="748D097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составлении баланса существующего и проектного использования территорий поселений следует учитывать резервные территории.</w:t>
      </w:r>
    </w:p>
    <w:p w14:paraId="61B1FDC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сооружениями, функциональное назначение которых не соответствует утвержденным документам территориального планирования.</w:t>
      </w:r>
    </w:p>
    <w:p w14:paraId="04611DB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Включение земельных участков в состав резервных территорий не влечет прекращения или изменения прав на такие земельные участки у их правообладателей до изъятия этих земельных участков для государственных или муниципальных нужд в порядке, установленном законодательством.</w:t>
      </w:r>
    </w:p>
    <w:p w14:paraId="1CBD192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D7B68DB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4. Расчетные показатели объектов местного значения</w:t>
      </w:r>
    </w:p>
    <w:p w14:paraId="2272520F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муниципального района</w:t>
      </w:r>
    </w:p>
    <w:p w14:paraId="16C2BB4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797649D" w14:textId="77777777" w:rsidR="00467797" w:rsidRDefault="00000000">
      <w:pPr>
        <w:pStyle w:val="ConsPlusNormal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Объекты инженерной инфраструктуры</w:t>
      </w:r>
    </w:p>
    <w:p w14:paraId="15FBC25D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65C2FC4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Объекты инженерной инфраструктуры подразделяются на следующие типы: объекты водоснабжения, объекты водоотведения сточных вод, поверхностных сточных вод и дренажных вод, объекты тепло-, энергоснабжения, объекты электроснабжения, объекты газоснабжения, связи, радиовещания и телевидения, пожарной и охранной сигнализации.</w:t>
      </w:r>
    </w:p>
    <w:p w14:paraId="49A1651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Объекты инженерной инфраструктуры каждого типа подразделяются на линейные объекты и сооружения.</w:t>
      </w:r>
    </w:p>
    <w:p w14:paraId="4FAF288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Инженерные системы следует рассчитывать исходя из соответствующих нормативов расчетной плотности населения, принятой на расчетный срок, удельного среднесуточного норматива потребления и общей площади жилой застройки, определяемой документацией.</w:t>
      </w:r>
    </w:p>
    <w:p w14:paraId="0DB367D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Инженерные сети следует размещать преимущественно в пределах поперечных профилей улиц и дорог:</w:t>
      </w:r>
    </w:p>
    <w:p w14:paraId="36A45D6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под тротуарами или разделительными полосами - инженерные сети в коллекторах, каналах или тоннелях;</w:t>
      </w:r>
    </w:p>
    <w:p w14:paraId="5AA11E2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в разделительных полосах - тепловые сети, водопровод, газопровод, хозяйственную и дождевую канализацию.</w:t>
      </w:r>
    </w:p>
    <w:p w14:paraId="720D914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 полосе между красной линией и линией застройки следует размещать газовые</w:t>
      </w:r>
    </w:p>
    <w:p w14:paraId="0D8C5BD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сети низкого давления и кабельные сети (силовые, связи, сигнализации и диспетчеризации).</w:t>
      </w:r>
    </w:p>
    <w:p w14:paraId="5CAB2BC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Применение открытых водоотводящих устройств - канав, кюветов, лотков допускается в районах одно-, двухэтажной застройки, а также на территории парков с устройством мостиков или труб на пересечении с улицами, дорогами, проездами и тротуарами.</w:t>
      </w:r>
    </w:p>
    <w:p w14:paraId="2DBB5CB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Охранные зоны наземных и надземных инженерных коммуникаций (трубопроводов) и сооружений устанавливаются по обе стороны от наружной стенки трубы или конструкции линейного объекта и ограждения сооружения на поверхность участка земли и воздушного пространства на высоту, соответствующую высоте конструкции.</w:t>
      </w:r>
    </w:p>
    <w:p w14:paraId="07E1AAA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Охранная зона вдоль воздушных линий электропередачи (ВЛ) устанавливается в виде воздушного пространства над землей, ограниченного параллельными вертикальными </w:t>
      </w:r>
      <w:r>
        <w:rPr>
          <w:rFonts w:ascii="PT Astra Serif" w:hAnsi="PT Astra Serif" w:cs="PT Astra Serif"/>
        </w:rPr>
        <w:lastRenderedPageBreak/>
        <w:t>плоскостями, отстоящими по обе стороны линии на расстояние от крайних проводов по горизонтали в зависимости от проектного номинального класса напряжения.</w:t>
      </w:r>
    </w:p>
    <w:p w14:paraId="775BD8D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Охранная зона вдоль подземных кабельных линий электропередачи устанавливается в виде участка земли, ограниченного параллельными вертикальными плоскостями, отстоящими по обе стороны линии на расстоянии по горизонтали 1 м от крайних кабелей.</w:t>
      </w:r>
    </w:p>
    <w:p w14:paraId="199BE2E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Охранные зоны инженерных коммуникаций и сооружений, порядок и условия использования территории в их границах устанавливаются соответствующими правилами охраны.</w:t>
      </w:r>
    </w:p>
    <w:p w14:paraId="0C5D073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Условия и правила использования территории зоны санитарной охраны сооружений и санитарно-защитных полос линейных объектов системы водоснабжения определяются федеральным законодательством в области охраны источников питьевого водоснабжения.</w:t>
      </w:r>
    </w:p>
    <w:p w14:paraId="67EBC65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Размещение подземных инженерных коммуникаций по отношению к зданиям, сооружениям, зеленым насаждениям и их взаимное расположение должны исключать возможность подмыва оснований фундаментов зданий и сооружений, повреждения близко расположенных сетей и зеленых насаждений, а также обеспечивать возможность ремонта сетей без затруднений для движения городского транспорта.</w:t>
      </w:r>
    </w:p>
    <w:p w14:paraId="5B25CCC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Расстояния по горизонтали от крайних проводов вновь сооружаемых ВЛ при не отклоненном их положении до границ земельных участков жилых и общественных зданий, до детских игровых площадок, площадок отдыха и занятий физкультурой, хозяйственных площадок или до ближайших выступающих частей жилых и общественных зданий при отсутствии земельных участков со стороны прохождения ВЛ, а также до границ приусадебных земельных участков индивидуальных домов и коллективных садовых участков должны быть не менее расстояний для охранных зон ВЛ соответствующих напряжений.</w:t>
      </w:r>
    </w:p>
    <w:p w14:paraId="542CE25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Прохождение ВЛ над зданиями и сооружениями, не допускается.</w:t>
      </w:r>
    </w:p>
    <w:p w14:paraId="58F37EA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Прохождение ВЛ по территориям стадионов, учебных и детских учреждений не допускается.</w:t>
      </w:r>
    </w:p>
    <w:p w14:paraId="104F2AE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 охранной зоне и зоне санитарной охраны (санитарно-защитной полосе) инженерных коммуникаций и сооружений без согласования с их правообладателем, а также органами, осуществляющими контроль и надзор за состоянием, содержанием и эксплуатацией объектов инженерной инфраструктуры, запрещается размещать объекты капитального и некапитального строительства (в том числе плоскостные - открытые стоянки автотранспорта, спортивные и детские площадки, площадки для отдыха и т.п.), осуществлять работы по благоустройству, озеленению и вертикальной планировке территории без проведения мероприятий, направленных на защиту и обеспечение условий безопасного функционирования объектов инженерной инфраструктуры.</w:t>
      </w:r>
    </w:p>
    <w:p w14:paraId="482DD66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Земельные участки, которые включены в состав охранных зон инженерных коммуникаций, санитарно-защитных полос и зон санитарной охраны, у собственников земельных участков, землепользователей, землевладельцев и арендаторов земельных участков не изымаются, но в их границах может быть введен особый режим их использования, ограничивающий или запрещающий те виды деятельности, которые несовместимы с целями установления зон.</w:t>
      </w:r>
    </w:p>
    <w:p w14:paraId="218627C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Комплексы водопроводных сооружений для подготовки и хранения питьевой воды (станции водоподготовки (СВ), водозаборные узлы поверхностной и подземной воды, водорегулирующие узлы) размещаются на специально выделенных для целей водоснабжения территориях зон инженерной инфраструктуры, вне территории промышленных предприятий или жилой застройки, за границей санитарно-защитных зон объектов производственно-коммунального назначения.</w:t>
      </w:r>
    </w:p>
    <w:p w14:paraId="32AFA26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Линейные объекты системы водоснабжения (водопроводные сети) размещаются подземно.</w:t>
      </w:r>
    </w:p>
    <w:p w14:paraId="16F719D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 проектировании линейных объектов системы водоснабжения следует </w:t>
      </w:r>
      <w:r>
        <w:rPr>
          <w:rFonts w:ascii="PT Astra Serif" w:hAnsi="PT Astra Serif" w:cs="PT Astra Serif"/>
        </w:rPr>
        <w:lastRenderedPageBreak/>
        <w:t>руководствоваться СП 31.13330.2012 "Свод правил. Водоснабжение. Наружные сети и сооружения. Актуализированная редакция СНиП 2.04.02-84".</w:t>
      </w:r>
    </w:p>
    <w:p w14:paraId="20A7630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Снабжение зданий с постоянным и временным пребыванием людей питьевой водой должно быть предусмотрено от централизованной сети водоснабжения. В районах без централизованных инженерных сетей для зданий до 3 этажей, а также павильонов (с требуемым наличием источника водоснабжения) допускается предусматривать индивидуальные и коллективные источники водоснабжения из подземных водоносных горизонтов или из водоемов из расчета суточного расхода хозяйственно-питьевой воды не менее 60 л на человека.</w:t>
      </w:r>
    </w:p>
    <w:p w14:paraId="508F3BD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Соединение сетей хозяйственно-питьевого водопровода с сетями водопроводов, подающих воду не питьевого качества, не допускается.</w:t>
      </w:r>
    </w:p>
    <w:p w14:paraId="21F8873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Источники водоснабжения, водопроводные сооружения (водозаборные, водоподготовки и водопроводные станции), а также водоводы должны иметь зоны санитарной охраны, санитарно-защитные полосы в соответствие с требованиями </w:t>
      </w:r>
      <w:hyperlink r:id="rId15">
        <w:r>
          <w:rPr>
            <w:rFonts w:ascii="PT Astra Serif" w:hAnsi="PT Astra Serif" w:cs="PT Astra Serif"/>
            <w:color w:val="0000FF"/>
          </w:rPr>
          <w:t>СанПиН 2.1.4.1110-02</w:t>
        </w:r>
      </w:hyperlink>
      <w:r>
        <w:rPr>
          <w:rFonts w:ascii="PT Astra Serif" w:hAnsi="PT Astra Serif" w:cs="PT Astra Serif"/>
        </w:rPr>
        <w:t xml:space="preserve"> "Зоны санитарной охраны источников водоснабжения и водопроводов питьевого назначения".</w:t>
      </w:r>
    </w:p>
    <w:p w14:paraId="566750F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Противопожарный водопровод допускается объединять с хозяйственно-питьевым или производственным водопроводом.</w:t>
      </w:r>
    </w:p>
    <w:p w14:paraId="54992E3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 источникам наружного противопожарного водоснабжения относятся:</w:t>
      </w:r>
    </w:p>
    <w:p w14:paraId="138E560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наружные водопроводные сети с пожарными гидрантами;</w:t>
      </w:r>
    </w:p>
    <w:p w14:paraId="568671C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водные объекты, используемые для целей пожаротушения в соответствии с законодательством Российской Федерации.</w:t>
      </w:r>
    </w:p>
    <w:p w14:paraId="7EC6C995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Противопожарный водопровод должен предусматриваться в соответствии с требованиями Федерального </w:t>
      </w:r>
      <w:hyperlink r:id="rId16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от 22.07.2008 N 123-ФЗ "Технический регламент о требованиях пожарной безопасности".</w:t>
      </w:r>
    </w:p>
    <w:p w14:paraId="2B305C7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проектировании системы наружного противопожарного водоснабжения следует руководствоваться СП 8.13130.2009 "Свод правил. Системы противопожарной защиты. Источники наружного противопожарного водоснабжения. Требования пожарной безопасности".</w:t>
      </w:r>
    </w:p>
    <w:p w14:paraId="79589E3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Допускается предусматривать в качестве источников наружного противопожарного водоснабжения природные или искусственные водоемы.</w:t>
      </w:r>
    </w:p>
    <w:p w14:paraId="57B9B0E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Расход воды на наружное пожаротушение зданий любого функционального назначения, отдельно стоящих производственных зданий, сооружений и иных объектов из водопроводной сети принимается в соответствии с Федеральным </w:t>
      </w:r>
      <w:hyperlink r:id="rId17">
        <w:r>
          <w:rPr>
            <w:rFonts w:ascii="PT Astra Serif" w:hAnsi="PT Astra Serif" w:cs="PT Astra Serif"/>
            <w:color w:val="0000FF"/>
          </w:rPr>
          <w:t>Законом</w:t>
        </w:r>
      </w:hyperlink>
      <w:r>
        <w:rPr>
          <w:rFonts w:ascii="PT Astra Serif" w:hAnsi="PT Astra Serif" w:cs="PT Astra Serif"/>
        </w:rPr>
        <w:t xml:space="preserve"> от 22.07.2008 N 123-ФЗ "Технический регламент о требованиях пожарной безопасности".</w:t>
      </w:r>
    </w:p>
    <w:p w14:paraId="09C3F4A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Установку пожарных гидрантов следует предусматривать вдоль автомобильных дорог на расстоянии не более 2,5 м от края проезжей части, но не менее 5 м от стен зданий, пожарные гидранты допускается располагать на проезжей части. При этом установка пожарных гидрантов на ответвлении от линии водопровода не допускается.</w:t>
      </w:r>
    </w:p>
    <w:p w14:paraId="3D8E15C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Удельное водопотребление включает расходы воды на хозяйственно-питьевые нужды в жилых и общественных зданиях, нужды местной промышленности, полив улиц и зеленых насаждений.</w:t>
      </w:r>
    </w:p>
    <w:p w14:paraId="0EE6E62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Выбор источника водоснабжения должен быть обоснован результатами топографических, гидрологических, гидрогеологических, ихтиологических, гидрохимических, гидробиологических, гидротермических и других изысканий и санитарных обследований.</w:t>
      </w:r>
    </w:p>
    <w:p w14:paraId="4B179AF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lastRenderedPageBreak/>
        <w:t>В качестве источника водоснабжения следует рассматривать водотоки (реки, каналы), водоемы (озера, водохранилища, пруды), подземные воды (водоносные пласты, подрусловые и другие воды).</w:t>
      </w:r>
    </w:p>
    <w:p w14:paraId="639FDB4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Для хозяйственно-питьевых водопроводов должны максимально использоваться имеющиеся ресурсы подземных вод (в том числе пополняемых источников), удовлетворяющих санитарно-гигиеническим требованиям.</w:t>
      </w:r>
    </w:p>
    <w:p w14:paraId="06AD0B5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Для производственного водоснабжения промышленных предприятий следует рассматривать возможность использования очищенных сточных вод.</w:t>
      </w:r>
    </w:p>
    <w:p w14:paraId="3797DCF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Выбор схем и систем водоснабжения следует осуществлять в соответствии с требованиями СП 31.13330.2012 "СНиП 2.04.02-84* Водоснабжение. Наружные сети и сооружения". Системы водоснабжения могут быть централизованными, нецентрализованными, локальными, оборотными.</w:t>
      </w:r>
    </w:p>
    <w:p w14:paraId="5804046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Водопроводные сети проектируются кольцевыми.</w:t>
      </w:r>
    </w:p>
    <w:p w14:paraId="2D2AEBF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Кольцевание наружных водопроводных сетей внутренними водопроводными сетями зданий и сооружений не допускается.</w:t>
      </w:r>
    </w:p>
    <w:p w14:paraId="62AB542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Водопроводные сооружения должны иметь ограждения.</w:t>
      </w:r>
    </w:p>
    <w:p w14:paraId="61C8F5F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Для площадок станций водоподготовки, насосных станций, резервуаров и водонапорных башен с зонами санитарной охраны первого пояса следует принимать глухое ограждение высотой 2,5 м. Допускается предусматривать ограждение на высоту 2 м - глухое и на 0,5 м - из колючей проволоки или металлической сетки, при этом во всех случаях должна предусматриваться колючая проволока в 4-5 нитей на кронштейнах с внутренней стороны ограждения.</w:t>
      </w:r>
    </w:p>
    <w:p w14:paraId="7591311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Примыкание к ограждению строений, кроме проходных и административно-бытовых зданий, не допускается.</w:t>
      </w:r>
    </w:p>
    <w:p w14:paraId="5E142A5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Очистные сооружения размещаются на территории зоны объектов инженерной инфраструктуры, определенных в градостроительной документации, или производственной зоны.</w:t>
      </w:r>
    </w:p>
    <w:p w14:paraId="46A8813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Все объекты жилищно-гражданского, производственного назначения, как правило, должны быть обеспечены централизованным системами канализации.</w:t>
      </w:r>
    </w:p>
    <w:p w14:paraId="4971739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 проектировании канализации необходимо рассматривать возможность объединения систем канализации различных объектов, а также предусматривать возможность использования существующих сооружений и интенсификацию их работы на основании технико-экономических расчетов.</w:t>
      </w:r>
    </w:p>
    <w:p w14:paraId="206B6D0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Очистные сооружения хозяйственно-бытовой канализации являются отдельно стоящими подземно-надземными сооружениями.</w:t>
      </w:r>
    </w:p>
    <w:p w14:paraId="54434A5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Проекты канализации населенных пунктов должны разрабатываться одновременно с проектами водоснабжения с обязательным анализом баланса водопотребления и отведения сточных вод. При этом необходимо рассматривать возможность использования очищенных сточных, дождевых вод для производственного водоснабжения и полива.</w:t>
      </w:r>
    </w:p>
    <w:p w14:paraId="3488A5E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КНС сооружают в тех случаях, когда рельеф местности не позволяет отводить сточные воды самотеком к очистным сооружениям.</w:t>
      </w:r>
    </w:p>
    <w:p w14:paraId="7952749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Очистные сооружения производственной и дождевой канализации следует, как правило, размещать на территории промышленных предприятий.</w:t>
      </w:r>
    </w:p>
    <w:p w14:paraId="6B50FDC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lastRenderedPageBreak/>
        <w:t>Площадки под КНС следует резервировать, как правило, в самых пониженных точках местности на незатопляемой территории.</w:t>
      </w:r>
    </w:p>
    <w:p w14:paraId="1D25C66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застройке, ниже по течению водотока.</w:t>
      </w:r>
    </w:p>
    <w:p w14:paraId="4D38BC3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Выбор площадок для строительства сооружений канализации, планировку, застройку и благоустройство их территорий следует выполнять в соответствии с технологическими требованиями и действующей нормативной документацией.</w:t>
      </w:r>
    </w:p>
    <w:p w14:paraId="1499C50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Линейные объекты системы водоотведения сточных вод (канализационные напорные и самотечные трубопроводы) по местоположению относительно земной поверхности могут размещаться только подземно.</w:t>
      </w:r>
    </w:p>
    <w:p w14:paraId="6A27793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Надземная и наземная прокладка канализационных трубопроводов не допускается.</w:t>
      </w:r>
    </w:p>
    <w:p w14:paraId="076272F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6E095B0" w14:textId="77777777" w:rsidR="00467797" w:rsidRDefault="00000000">
      <w:pPr>
        <w:pStyle w:val="ConsPlusNormal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Автомобильные дороги местного значения</w:t>
      </w:r>
    </w:p>
    <w:p w14:paraId="50DB70B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D809013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Зоны размещения автомобильных дорог местного значения вне границ населенных пунктов в границах муниципального района определяются на основании документов территориального планирования Удмуртской Республики и Красногорского района.</w:t>
      </w:r>
    </w:p>
    <w:p w14:paraId="1823F01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Категории автомобильных дорог местного значения вне границ населенных пунктов в границах муниципального района в зависимости от их назначения, расчетной интенсивности движения и их значения приведены в таблице 4.2.1.</w:t>
      </w:r>
    </w:p>
    <w:p w14:paraId="35BE44E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F65FB47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4.2.1</w:t>
      </w:r>
    </w:p>
    <w:p w14:paraId="6665B6D2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2948"/>
        <w:gridCol w:w="4516"/>
      </w:tblGrid>
      <w:tr w:rsidR="00467797" w14:paraId="3C7DD724" w14:textId="77777777">
        <w:tc>
          <w:tcPr>
            <w:tcW w:w="1928" w:type="dxa"/>
          </w:tcPr>
          <w:p w14:paraId="672382E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Категория автомобильной дороги</w:t>
            </w:r>
          </w:p>
        </w:tc>
        <w:tc>
          <w:tcPr>
            <w:tcW w:w="2948" w:type="dxa"/>
          </w:tcPr>
          <w:p w14:paraId="5862F333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Класс</w:t>
            </w:r>
          </w:p>
        </w:tc>
        <w:tc>
          <w:tcPr>
            <w:tcW w:w="4516" w:type="dxa"/>
          </w:tcPr>
          <w:p w14:paraId="6718C65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Расчетная интенсивность движения, приведенных единиц/сутки</w:t>
            </w:r>
          </w:p>
        </w:tc>
      </w:tr>
      <w:tr w:rsidR="00467797" w14:paraId="31511AD0" w14:textId="77777777">
        <w:tc>
          <w:tcPr>
            <w:tcW w:w="1928" w:type="dxa"/>
          </w:tcPr>
          <w:p w14:paraId="42B34A4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IV</w:t>
            </w:r>
          </w:p>
        </w:tc>
        <w:tc>
          <w:tcPr>
            <w:tcW w:w="2948" w:type="dxa"/>
            <w:vMerge w:val="restart"/>
          </w:tcPr>
          <w:p w14:paraId="7334991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обычная автомобильная дорога (нескоростная автомобильная дорога)</w:t>
            </w:r>
          </w:p>
        </w:tc>
        <w:tc>
          <w:tcPr>
            <w:tcW w:w="4516" w:type="dxa"/>
          </w:tcPr>
          <w:p w14:paraId="43E1323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200 до 2 000</w:t>
            </w:r>
          </w:p>
        </w:tc>
      </w:tr>
      <w:tr w:rsidR="00467797" w14:paraId="7C19E5C1" w14:textId="77777777">
        <w:tc>
          <w:tcPr>
            <w:tcW w:w="1928" w:type="dxa"/>
          </w:tcPr>
          <w:p w14:paraId="0F7E707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V</w:t>
            </w:r>
          </w:p>
        </w:tc>
        <w:tc>
          <w:tcPr>
            <w:tcW w:w="2948" w:type="dxa"/>
            <w:vMerge/>
          </w:tcPr>
          <w:p w14:paraId="00AC281F" w14:textId="77777777" w:rsidR="00467797" w:rsidRDefault="00467797">
            <w:pPr>
              <w:pStyle w:val="ConsPlusNormal"/>
              <w:rPr>
                <w:rFonts w:ascii="PT Astra Serif" w:hAnsi="PT Astra Serif" w:cs="PT Astra Serif"/>
              </w:rPr>
            </w:pPr>
          </w:p>
        </w:tc>
        <w:tc>
          <w:tcPr>
            <w:tcW w:w="4516" w:type="dxa"/>
          </w:tcPr>
          <w:p w14:paraId="678BDFE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200</w:t>
            </w:r>
          </w:p>
        </w:tc>
      </w:tr>
    </w:tbl>
    <w:p w14:paraId="089008F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8B3A15A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Пропускную способность сети дорог, улиц и транспортных пересечений следует определять исходя из расчетного уровня автомобилизации на расчетный срок, приведенного в таблице 4.2.2.</w:t>
      </w:r>
    </w:p>
    <w:p w14:paraId="3E41BC1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AD948EB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4.2.2</w:t>
      </w:r>
    </w:p>
    <w:p w14:paraId="7CCF50A9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3"/>
        <w:gridCol w:w="3779"/>
      </w:tblGrid>
      <w:tr w:rsidR="00467797" w14:paraId="62BE78FD" w14:textId="77777777">
        <w:tc>
          <w:tcPr>
            <w:tcW w:w="5613" w:type="dxa"/>
          </w:tcPr>
          <w:p w14:paraId="385655D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показателей</w:t>
            </w:r>
          </w:p>
        </w:tc>
        <w:tc>
          <w:tcPr>
            <w:tcW w:w="3779" w:type="dxa"/>
          </w:tcPr>
          <w:p w14:paraId="6326CE1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Минимальные расчетные показатели, единиц/1000 чел.</w:t>
            </w:r>
          </w:p>
        </w:tc>
      </w:tr>
      <w:tr w:rsidR="00467797" w14:paraId="7E99463B" w14:textId="77777777">
        <w:tc>
          <w:tcPr>
            <w:tcW w:w="5613" w:type="dxa"/>
          </w:tcPr>
          <w:p w14:paraId="40347A2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Количество легковых автомобилей,</w:t>
            </w:r>
          </w:p>
        </w:tc>
        <w:tc>
          <w:tcPr>
            <w:tcW w:w="3779" w:type="dxa"/>
          </w:tcPr>
          <w:p w14:paraId="383FB1E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550</w:t>
            </w:r>
          </w:p>
        </w:tc>
      </w:tr>
      <w:tr w:rsidR="00467797" w14:paraId="2FE9C183" w14:textId="77777777">
        <w:tc>
          <w:tcPr>
            <w:tcW w:w="5613" w:type="dxa"/>
          </w:tcPr>
          <w:p w14:paraId="592838A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том числе в личной собственности граждан</w:t>
            </w:r>
          </w:p>
        </w:tc>
        <w:tc>
          <w:tcPr>
            <w:tcW w:w="3779" w:type="dxa"/>
          </w:tcPr>
          <w:p w14:paraId="77130668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535</w:t>
            </w:r>
          </w:p>
        </w:tc>
      </w:tr>
      <w:tr w:rsidR="00467797" w14:paraId="2F456C9D" w14:textId="77777777">
        <w:tc>
          <w:tcPr>
            <w:tcW w:w="5613" w:type="dxa"/>
          </w:tcPr>
          <w:p w14:paraId="35B190A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Количество автобусов</w:t>
            </w:r>
          </w:p>
        </w:tc>
        <w:tc>
          <w:tcPr>
            <w:tcW w:w="3779" w:type="dxa"/>
          </w:tcPr>
          <w:p w14:paraId="78069314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9</w:t>
            </w:r>
          </w:p>
        </w:tc>
      </w:tr>
      <w:tr w:rsidR="00467797" w14:paraId="0C361677" w14:textId="77777777">
        <w:tc>
          <w:tcPr>
            <w:tcW w:w="5613" w:type="dxa"/>
          </w:tcPr>
          <w:p w14:paraId="156490B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Количество грузовых автомобилей</w:t>
            </w:r>
          </w:p>
        </w:tc>
        <w:tc>
          <w:tcPr>
            <w:tcW w:w="3779" w:type="dxa"/>
          </w:tcPr>
          <w:p w14:paraId="4E1163F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40</w:t>
            </w:r>
          </w:p>
        </w:tc>
      </w:tr>
      <w:tr w:rsidR="00467797" w14:paraId="3E3F5989" w14:textId="77777777">
        <w:tc>
          <w:tcPr>
            <w:tcW w:w="5613" w:type="dxa"/>
          </w:tcPr>
          <w:p w14:paraId="12088B2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Количество мотоциклов и мопедов</w:t>
            </w:r>
          </w:p>
        </w:tc>
        <w:tc>
          <w:tcPr>
            <w:tcW w:w="3779" w:type="dxa"/>
          </w:tcPr>
          <w:p w14:paraId="6CCE37C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</w:t>
            </w:r>
          </w:p>
        </w:tc>
      </w:tr>
    </w:tbl>
    <w:p w14:paraId="1F5AC11A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7AEBE3C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Примечания:</w:t>
      </w:r>
    </w:p>
    <w:p w14:paraId="05C5020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1. Указанный уровень автомобилизации допускается увеличивать в зависимости от особенностей градостроительной ситуации, но не более чем на 20%.</w:t>
      </w:r>
    </w:p>
    <w:p w14:paraId="71EC891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2. Количество автомобилей, прибывающих в населенный пункт из других населенных пунктов Удмуртской Республики, и транзитных автомобилей определяется специальным расчетом.</w:t>
      </w:r>
    </w:p>
    <w:p w14:paraId="1A54CF9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Для расчета пропускной способности (интенсивности движения) при движении по уличной сети смешанного потока различные виды транспорта следует приводить к одному расчетному виду. Коэффициенты приведения интенсивности движения различных транспортных средств к легковому автомобилю следует принимать по таблице 4.2.3.</w:t>
      </w:r>
    </w:p>
    <w:p w14:paraId="42AC943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1BF034E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4.2.3</w:t>
      </w:r>
    </w:p>
    <w:p w14:paraId="47EEB4C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0"/>
        <w:gridCol w:w="2210"/>
      </w:tblGrid>
      <w:tr w:rsidR="00467797" w14:paraId="6E39087E" w14:textId="77777777"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2B9B2B3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Типы транспортных средств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7AD5916D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Коэффициент приведения</w:t>
            </w:r>
          </w:p>
        </w:tc>
      </w:tr>
      <w:tr w:rsidR="00467797" w14:paraId="5B628AC6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single" w:sz="4" w:space="0" w:color="auto"/>
              <w:bottom w:val="nil"/>
            </w:tcBorders>
          </w:tcPr>
          <w:p w14:paraId="1D07BA6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Легковые автомобили, мотоциклы, микроавтобусы</w:t>
            </w:r>
          </w:p>
        </w:tc>
        <w:tc>
          <w:tcPr>
            <w:tcW w:w="2210" w:type="dxa"/>
            <w:tcBorders>
              <w:top w:val="single" w:sz="4" w:space="0" w:color="auto"/>
              <w:bottom w:val="nil"/>
            </w:tcBorders>
          </w:tcPr>
          <w:p w14:paraId="4C86687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1,0</w:t>
            </w:r>
          </w:p>
        </w:tc>
      </w:tr>
      <w:tr w:rsidR="00467797" w14:paraId="6B5C0447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6E72BD3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Грузовые автомобили грузоподъемностью: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42D11D40" w14:textId="77777777" w:rsidR="00467797" w:rsidRDefault="00467797">
            <w:pPr>
              <w:pStyle w:val="ConsPlusNormal"/>
              <w:rPr>
                <w:rFonts w:ascii="PT Astra Serif" w:hAnsi="PT Astra Serif" w:cs="PT Astra Serif"/>
              </w:rPr>
            </w:pPr>
          </w:p>
        </w:tc>
      </w:tr>
      <w:tr w:rsidR="00467797" w14:paraId="3FE0715E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441D047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2840253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1,3</w:t>
            </w:r>
          </w:p>
        </w:tc>
      </w:tr>
      <w:tr w:rsidR="00467797" w14:paraId="153BE83D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2069FA7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2 т до 6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1CB98BF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1,4</w:t>
            </w:r>
          </w:p>
        </w:tc>
      </w:tr>
      <w:tr w:rsidR="00467797" w14:paraId="48A61468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36492DA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6 т до 8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306909B4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1,6</w:t>
            </w:r>
          </w:p>
        </w:tc>
      </w:tr>
      <w:tr w:rsidR="00467797" w14:paraId="18C6D26A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2669C7B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8 т до 14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431F09C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1,8</w:t>
            </w:r>
          </w:p>
        </w:tc>
      </w:tr>
      <w:tr w:rsidR="00467797" w14:paraId="4D400E21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1E82EC0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14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1FA6636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2,0</w:t>
            </w:r>
          </w:p>
        </w:tc>
      </w:tr>
      <w:tr w:rsidR="00467797" w14:paraId="7A9A753C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2D6AEC2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Автопоезда грузоподъёмностью: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79F301D6" w14:textId="77777777" w:rsidR="00467797" w:rsidRDefault="00467797">
            <w:pPr>
              <w:pStyle w:val="ConsPlusNormal"/>
              <w:rPr>
                <w:rFonts w:ascii="PT Astra Serif" w:hAnsi="PT Astra Serif" w:cs="PT Astra Serif"/>
              </w:rPr>
            </w:pPr>
          </w:p>
        </w:tc>
      </w:tr>
      <w:tr w:rsidR="00467797" w14:paraId="2EA8111F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129080C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12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4CA9F1A4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1,8</w:t>
            </w:r>
          </w:p>
        </w:tc>
      </w:tr>
      <w:tr w:rsidR="00467797" w14:paraId="4C9CA521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00A5A55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12 т до 20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6DC57EC1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2,2</w:t>
            </w:r>
          </w:p>
        </w:tc>
      </w:tr>
      <w:tr w:rsidR="00467797" w14:paraId="0579F88D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3077C17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20 т до 30 т включительно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7D461AA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2,7</w:t>
            </w:r>
          </w:p>
        </w:tc>
      </w:tr>
      <w:tr w:rsidR="00467797" w14:paraId="4E04135C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3340F86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30 т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5E85CC8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3,2</w:t>
            </w:r>
          </w:p>
        </w:tc>
      </w:tr>
      <w:tr w:rsidR="00467797" w14:paraId="7145501F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0D6792B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Автобусы: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5974CF66" w14:textId="77777777" w:rsidR="00467797" w:rsidRDefault="00467797">
            <w:pPr>
              <w:pStyle w:val="ConsPlusNormal"/>
              <w:rPr>
                <w:rFonts w:ascii="PT Astra Serif" w:hAnsi="PT Astra Serif" w:cs="PT Astra Serif"/>
              </w:rPr>
            </w:pPr>
          </w:p>
        </w:tc>
      </w:tr>
      <w:tr w:rsidR="00467797" w14:paraId="41709155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0B1FADD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малой вместимости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595C352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1,4</w:t>
            </w:r>
          </w:p>
        </w:tc>
      </w:tr>
      <w:tr w:rsidR="00467797" w14:paraId="2EBE8716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nil"/>
            </w:tcBorders>
          </w:tcPr>
          <w:p w14:paraId="1684342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средней вместимости</w:t>
            </w:r>
          </w:p>
        </w:tc>
        <w:tc>
          <w:tcPr>
            <w:tcW w:w="2210" w:type="dxa"/>
            <w:tcBorders>
              <w:top w:val="nil"/>
              <w:bottom w:val="nil"/>
            </w:tcBorders>
          </w:tcPr>
          <w:p w14:paraId="68D0D66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2,5</w:t>
            </w:r>
          </w:p>
        </w:tc>
      </w:tr>
      <w:tr w:rsidR="00467797" w14:paraId="438369CF" w14:textId="77777777">
        <w:tblPrEx>
          <w:tblBorders>
            <w:insideH w:val="none" w:sz="0" w:space="0" w:color="auto"/>
          </w:tblBorders>
        </w:tblPrEx>
        <w:tc>
          <w:tcPr>
            <w:tcW w:w="7200" w:type="dxa"/>
            <w:tcBorders>
              <w:top w:val="nil"/>
              <w:bottom w:val="single" w:sz="4" w:space="0" w:color="auto"/>
            </w:tcBorders>
          </w:tcPr>
          <w:p w14:paraId="5E51240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большой вместимости</w:t>
            </w:r>
          </w:p>
        </w:tc>
        <w:tc>
          <w:tcPr>
            <w:tcW w:w="2210" w:type="dxa"/>
            <w:tcBorders>
              <w:top w:val="nil"/>
              <w:bottom w:val="single" w:sz="4" w:space="0" w:color="auto"/>
            </w:tcBorders>
          </w:tcPr>
          <w:p w14:paraId="69DFA32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3,0</w:t>
            </w:r>
          </w:p>
        </w:tc>
      </w:tr>
    </w:tbl>
    <w:p w14:paraId="237F051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AF3037E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Примечание: коэффициенты приведения для специальных автомобилей следует принимать как для базовых автомобилей соответствующей грузоподъемности.</w:t>
      </w:r>
    </w:p>
    <w:p w14:paraId="37D9E53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Полосы отвода автомобильных дорог местного значения следует проектировать в соответствии с требованиями Федерального </w:t>
      </w:r>
      <w:hyperlink r:id="rId18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от 08.11.2007 N 257-ФЗ "Об автомобильных </w:t>
      </w:r>
      <w:r>
        <w:rPr>
          <w:rFonts w:ascii="PT Astra Serif" w:hAnsi="PT Astra Serif" w:cs="PT Astra Serif"/>
        </w:rPr>
        <w:lastRenderedPageBreak/>
        <w:t>дорогах и о дорожной деятельности в Российской Федерации и о внесении изменений в отдельные законодательные акты Российской Федерации", приведенными в таблице 4.2.4.</w:t>
      </w:r>
    </w:p>
    <w:p w14:paraId="3D3A82A2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8B26808" w14:textId="77777777" w:rsidR="00467797" w:rsidRDefault="00467797">
      <w:pPr>
        <w:pStyle w:val="ConsPlusNormal"/>
        <w:jc w:val="right"/>
        <w:rPr>
          <w:rFonts w:ascii="PT Astra Serif" w:hAnsi="PT Astra Serif" w:cs="PT Astra Serif"/>
        </w:rPr>
      </w:pPr>
    </w:p>
    <w:p w14:paraId="3F4DB2F4" w14:textId="77777777" w:rsidR="00467797" w:rsidRDefault="00467797">
      <w:pPr>
        <w:pStyle w:val="ConsPlusNormal"/>
        <w:jc w:val="right"/>
        <w:rPr>
          <w:rFonts w:ascii="PT Astra Serif" w:hAnsi="PT Astra Serif" w:cs="PT Astra Serif"/>
        </w:rPr>
      </w:pPr>
    </w:p>
    <w:p w14:paraId="22D70F63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4.2.4</w:t>
      </w:r>
    </w:p>
    <w:p w14:paraId="2F760D2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875"/>
      </w:tblGrid>
      <w:tr w:rsidR="00467797" w14:paraId="2D504F07" w14:textId="77777777">
        <w:tc>
          <w:tcPr>
            <w:tcW w:w="4535" w:type="dxa"/>
          </w:tcPr>
          <w:p w14:paraId="5EE34FE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Наименования параметров</w:t>
            </w:r>
          </w:p>
        </w:tc>
        <w:tc>
          <w:tcPr>
            <w:tcW w:w="4875" w:type="dxa"/>
          </w:tcPr>
          <w:p w14:paraId="517C6C3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Порядок определения</w:t>
            </w:r>
          </w:p>
        </w:tc>
      </w:tr>
      <w:tr w:rsidR="00467797" w14:paraId="153CE1CD" w14:textId="77777777">
        <w:tc>
          <w:tcPr>
            <w:tcW w:w="4535" w:type="dxa"/>
          </w:tcPr>
          <w:p w14:paraId="7CF4793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Границы полосы отвода автомобильной дороги</w:t>
            </w:r>
          </w:p>
        </w:tc>
        <w:tc>
          <w:tcPr>
            <w:tcW w:w="4875" w:type="dxa"/>
          </w:tcPr>
          <w:p w14:paraId="49DBEDC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Определяются на основании документации по планировке территории</w:t>
            </w:r>
          </w:p>
        </w:tc>
      </w:tr>
      <w:tr w:rsidR="00467797" w14:paraId="7EFC1E11" w14:textId="77777777">
        <w:tc>
          <w:tcPr>
            <w:tcW w:w="4535" w:type="dxa"/>
          </w:tcPr>
          <w:p w14:paraId="5BAF436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Порядок установления и использования полос отвода автомобильных дорог местного значения</w:t>
            </w:r>
          </w:p>
        </w:tc>
        <w:tc>
          <w:tcPr>
            <w:tcW w:w="4875" w:type="dxa"/>
          </w:tcPr>
          <w:p w14:paraId="6DB9764B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Органом местного самоуправления Красногорского района Удмуртской Республики</w:t>
            </w:r>
          </w:p>
        </w:tc>
      </w:tr>
      <w:tr w:rsidR="00467797" w14:paraId="1A534799" w14:textId="77777777">
        <w:tc>
          <w:tcPr>
            <w:tcW w:w="4535" w:type="dxa"/>
          </w:tcPr>
          <w:p w14:paraId="291A781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Ширина полос и размеры участков земель, отводимых для автомобильных дорог и транспортных развязок движения</w:t>
            </w:r>
          </w:p>
        </w:tc>
        <w:tc>
          <w:tcPr>
            <w:tcW w:w="4875" w:type="dxa"/>
          </w:tcPr>
          <w:p w14:paraId="777D3B2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В соответствии с требованиями </w:t>
            </w:r>
            <w:hyperlink r:id="rId19">
              <w:r>
                <w:rPr>
                  <w:rFonts w:ascii="PT Astra Serif" w:hAnsi="PT Astra Serif" w:cs="PT Astra Serif"/>
                  <w:color w:val="0000FF"/>
                </w:rPr>
                <w:t>постановления</w:t>
              </w:r>
            </w:hyperlink>
            <w:r>
              <w:rPr>
                <w:rFonts w:ascii="PT Astra Serif" w:hAnsi="PT Astra Serif" w:cs="PT Astra Serif"/>
              </w:rPr>
              <w:t xml:space="preserve"> Правительства Российской Федерации от 02.09.2009 N 717 "О нормах отвода земель для размещения автомобильных дорог и (или) объектов дорожного сервиса"</w:t>
            </w:r>
          </w:p>
        </w:tc>
      </w:tr>
    </w:tbl>
    <w:p w14:paraId="07EE78F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2A2B6E0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градостроительного проектирования мостовых сооружений (мостов, эстакад, галерей, труб, путепроводов) приведены в таблице 4.2.5.</w:t>
      </w:r>
    </w:p>
    <w:p w14:paraId="174E9CD9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DE3F2C5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4.2.5</w:t>
      </w:r>
    </w:p>
    <w:p w14:paraId="6CE54369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866"/>
      </w:tblGrid>
      <w:tr w:rsidR="00467797" w14:paraId="70E59A26" w14:textId="77777777">
        <w:tc>
          <w:tcPr>
            <w:tcW w:w="4535" w:type="dxa"/>
          </w:tcPr>
          <w:p w14:paraId="3257F6CD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показателей</w:t>
            </w:r>
          </w:p>
        </w:tc>
        <w:tc>
          <w:tcPr>
            <w:tcW w:w="4866" w:type="dxa"/>
          </w:tcPr>
          <w:p w14:paraId="73A3E06D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Нормативные параметры и расчетные показатели мостовых сооружений (мостов, эстакад, галерей, труб, путепроводов)</w:t>
            </w:r>
          </w:p>
        </w:tc>
      </w:tr>
      <w:tr w:rsidR="00467797" w14:paraId="10390970" w14:textId="77777777">
        <w:tc>
          <w:tcPr>
            <w:tcW w:w="4535" w:type="dxa"/>
          </w:tcPr>
          <w:p w14:paraId="33579B0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Выбор трассы и места размещения</w:t>
            </w:r>
          </w:p>
        </w:tc>
        <w:tc>
          <w:tcPr>
            <w:tcW w:w="4866" w:type="dxa"/>
          </w:tcPr>
          <w:p w14:paraId="42E2C1F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соответствии с требованиями СП 35.13330.2011</w:t>
            </w:r>
          </w:p>
        </w:tc>
      </w:tr>
      <w:tr w:rsidR="00467797" w14:paraId="53FDBD74" w14:textId="77777777">
        <w:tc>
          <w:tcPr>
            <w:tcW w:w="4535" w:type="dxa"/>
          </w:tcPr>
          <w:p w14:paraId="772BD13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Габариты приближения</w:t>
            </w:r>
          </w:p>
        </w:tc>
        <w:tc>
          <w:tcPr>
            <w:tcW w:w="4866" w:type="dxa"/>
          </w:tcPr>
          <w:p w14:paraId="67055E4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соответствии с требованиями ГОСТ Р 52748-2007</w:t>
            </w:r>
          </w:p>
        </w:tc>
      </w:tr>
    </w:tbl>
    <w:p w14:paraId="4859DCD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A78F0F4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образования</w:t>
      </w:r>
    </w:p>
    <w:p w14:paraId="4CC08ED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235A667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минимально допустимого уровня обеспеченности объектами и максимально допустимого уровня территориальной доступности объектов в области образования для Красногорского района приведены в таблице 4.3.1.</w:t>
      </w:r>
    </w:p>
    <w:p w14:paraId="2F3D896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6CCC892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4.3.1</w:t>
      </w:r>
    </w:p>
    <w:p w14:paraId="593783E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005"/>
        <w:gridCol w:w="3552"/>
      </w:tblGrid>
      <w:tr w:rsidR="00467797" w14:paraId="0F07911F" w14:textId="77777777">
        <w:tc>
          <w:tcPr>
            <w:tcW w:w="2835" w:type="dxa"/>
          </w:tcPr>
          <w:p w14:paraId="41CCCA61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005" w:type="dxa"/>
          </w:tcPr>
          <w:p w14:paraId="687CB65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3552" w:type="dxa"/>
          </w:tcPr>
          <w:p w14:paraId="136B1B6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5C8EA8C5" w14:textId="77777777">
        <w:tc>
          <w:tcPr>
            <w:tcW w:w="2835" w:type="dxa"/>
          </w:tcPr>
          <w:p w14:paraId="3056FD0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Дошкольные образовательные </w:t>
            </w:r>
            <w:r>
              <w:rPr>
                <w:rFonts w:ascii="PT Astra Serif" w:hAnsi="PT Astra Serif" w:cs="PT Astra Serif"/>
              </w:rPr>
              <w:lastRenderedPageBreak/>
              <w:t>учреждения</w:t>
            </w:r>
          </w:p>
        </w:tc>
        <w:tc>
          <w:tcPr>
            <w:tcW w:w="3005" w:type="dxa"/>
          </w:tcPr>
          <w:p w14:paraId="1436845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не менее 57 мест на 1000 жителей</w:t>
            </w:r>
          </w:p>
        </w:tc>
        <w:tc>
          <w:tcPr>
            <w:tcW w:w="3552" w:type="dxa"/>
          </w:tcPr>
          <w:p w14:paraId="0A7F9BF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минут транспортной доступности</w:t>
            </w:r>
          </w:p>
        </w:tc>
      </w:tr>
      <w:tr w:rsidR="00467797" w14:paraId="1939B7BE" w14:textId="77777777">
        <w:tc>
          <w:tcPr>
            <w:tcW w:w="2835" w:type="dxa"/>
          </w:tcPr>
          <w:p w14:paraId="67ED723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Общеобразовательные школы</w:t>
            </w:r>
          </w:p>
        </w:tc>
        <w:tc>
          <w:tcPr>
            <w:tcW w:w="3005" w:type="dxa"/>
          </w:tcPr>
          <w:p w14:paraId="1B42BFD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 менее 125 мест на 1000 жителей, в том числе 17 для X - XI классов</w:t>
            </w:r>
          </w:p>
        </w:tc>
        <w:tc>
          <w:tcPr>
            <w:tcW w:w="3552" w:type="dxa"/>
          </w:tcPr>
          <w:p w14:paraId="6AC615C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для обучающихся I ступени не более 2 км пешеходной доступности.</w:t>
            </w:r>
          </w:p>
          <w:p w14:paraId="4C3E9DD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Для обучающихся II и III не более 4 км транспортной доступности &lt;*&gt;</w:t>
            </w:r>
          </w:p>
        </w:tc>
      </w:tr>
      <w:tr w:rsidR="00467797" w14:paraId="5901CFB7" w14:textId="77777777">
        <w:tc>
          <w:tcPr>
            <w:tcW w:w="2835" w:type="dxa"/>
          </w:tcPr>
          <w:p w14:paraId="564AB2D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Учреждения дополнительно го образования</w:t>
            </w:r>
          </w:p>
        </w:tc>
        <w:tc>
          <w:tcPr>
            <w:tcW w:w="3005" w:type="dxa"/>
          </w:tcPr>
          <w:p w14:paraId="0ABAB7A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 по демографии не менее 10% от общего числа школьников</w:t>
            </w:r>
          </w:p>
        </w:tc>
        <w:tc>
          <w:tcPr>
            <w:tcW w:w="3552" w:type="dxa"/>
          </w:tcPr>
          <w:p w14:paraId="382405D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 заданию на проектирование</w:t>
            </w:r>
          </w:p>
        </w:tc>
      </w:tr>
    </w:tbl>
    <w:p w14:paraId="358A96E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0CC7D61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4.3.2. Согласно </w:t>
      </w:r>
      <w:hyperlink r:id="rId20">
        <w:r>
          <w:rPr>
            <w:rFonts w:ascii="PT Astra Serif" w:hAnsi="PT Astra Serif" w:cs="PT Astra Serif"/>
            <w:color w:val="0000FF"/>
          </w:rPr>
          <w:t>СанПин 2.4.2.2821-10</w:t>
        </w:r>
      </w:hyperlink>
      <w:r>
        <w:rPr>
          <w:rFonts w:ascii="PT Astra Serif" w:hAnsi="PT Astra Serif" w:cs="PT Astra Serif"/>
        </w:rPr>
        <w:t xml:space="preserve"> при организации дошкольного и школьного обслуживания в сельской местности необходимо предусматривать систему подвоза детей. Транспортному обслуживанию подлежат учащиеся общеобразовательных учреждений, проживающие на расстоянии свыше 2 - 4 км от учреждения. Подвоз учащихся осуществляется на транспорте, предназначенном для перевозки детей. Время пути не должно превышать 30 минут в одну сторону.</w:t>
      </w:r>
    </w:p>
    <w:p w14:paraId="5FF2BB1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Оптимальный пешеходный подход обучающихся к месту сбора на остановке должен быть не более 500 м. Для сельских районов допускается увеличение радиуса пешеходной доступности до остановки до 1 км.</w:t>
      </w:r>
    </w:p>
    <w:p w14:paraId="7DFF6A4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Остановка транспорта оборудуется навесом, огражденным с трех сторон, защищена барьером от проезжей части дороги, имеет твердое покрытие и обзорность не менее 250 м со стороны дороги.</w:t>
      </w:r>
    </w:p>
    <w:p w14:paraId="4A9DA76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D2BBA1D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здравоохранения</w:t>
      </w:r>
    </w:p>
    <w:p w14:paraId="318FBE02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2791389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минимально допустимого уровня обеспеченности объектами и максимально допустимого уровня территориальной доступности объектов в области здравоохранения для Красногорского района приведены в таблице 4.4.1.</w:t>
      </w:r>
    </w:p>
    <w:p w14:paraId="29EF738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230703D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4.4.1</w:t>
      </w:r>
    </w:p>
    <w:p w14:paraId="774EBEB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175"/>
        <w:gridCol w:w="3496"/>
      </w:tblGrid>
      <w:tr w:rsidR="00467797" w14:paraId="23F461E0" w14:textId="77777777">
        <w:tc>
          <w:tcPr>
            <w:tcW w:w="2721" w:type="dxa"/>
          </w:tcPr>
          <w:p w14:paraId="22F70AD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175" w:type="dxa"/>
          </w:tcPr>
          <w:p w14:paraId="7A67689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3496" w:type="dxa"/>
          </w:tcPr>
          <w:p w14:paraId="6C235EA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0EA92F71" w14:textId="77777777">
        <w:tc>
          <w:tcPr>
            <w:tcW w:w="2721" w:type="dxa"/>
          </w:tcPr>
          <w:p w14:paraId="715BA36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Амбулаторно-поликлинические учреждения</w:t>
            </w:r>
          </w:p>
        </w:tc>
        <w:tc>
          <w:tcPr>
            <w:tcW w:w="3175" w:type="dxa"/>
          </w:tcPr>
          <w:p w14:paraId="63991FE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 заданию на проектирование, определяемому органами здравоохранения, но не менее 18,15 посещений в смену</w:t>
            </w:r>
          </w:p>
        </w:tc>
        <w:tc>
          <w:tcPr>
            <w:tcW w:w="3496" w:type="dxa"/>
          </w:tcPr>
          <w:p w14:paraId="046AC23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40 минут транспортной доступности</w:t>
            </w:r>
          </w:p>
        </w:tc>
      </w:tr>
      <w:tr w:rsidR="00467797" w14:paraId="26BF3DA7" w14:textId="77777777">
        <w:tc>
          <w:tcPr>
            <w:tcW w:w="2721" w:type="dxa"/>
          </w:tcPr>
          <w:p w14:paraId="0B8DC0C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Фельдшерско-акушерские пункты</w:t>
            </w:r>
          </w:p>
        </w:tc>
        <w:tc>
          <w:tcPr>
            <w:tcW w:w="3175" w:type="dxa"/>
          </w:tcPr>
          <w:p w14:paraId="5828FA5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на 0,7 тыс. жителей</w:t>
            </w:r>
          </w:p>
        </w:tc>
        <w:tc>
          <w:tcPr>
            <w:tcW w:w="3496" w:type="dxa"/>
          </w:tcPr>
          <w:p w14:paraId="3717CA7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65440CF2" w14:textId="77777777">
        <w:tc>
          <w:tcPr>
            <w:tcW w:w="2721" w:type="dxa"/>
          </w:tcPr>
          <w:p w14:paraId="11AD044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Станции (подстанции) скорой помощи</w:t>
            </w:r>
          </w:p>
        </w:tc>
        <w:tc>
          <w:tcPr>
            <w:tcW w:w="3175" w:type="dxa"/>
          </w:tcPr>
          <w:p w14:paraId="35895AF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автомобиль на 3 тыс. жителей</w:t>
            </w:r>
          </w:p>
        </w:tc>
        <w:tc>
          <w:tcPr>
            <w:tcW w:w="3496" w:type="dxa"/>
          </w:tcPr>
          <w:p w14:paraId="7173099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30 минут доступности на автомобиле, оборудованном специальными внешними </w:t>
            </w:r>
            <w:r>
              <w:rPr>
                <w:rFonts w:ascii="PT Astra Serif" w:hAnsi="PT Astra Serif" w:cs="PT Astra Serif"/>
              </w:rPr>
              <w:lastRenderedPageBreak/>
              <w:t>световыми приборами и звуковыми сигналами</w:t>
            </w:r>
          </w:p>
        </w:tc>
      </w:tr>
      <w:tr w:rsidR="00467797" w14:paraId="46662AAD" w14:textId="77777777">
        <w:tc>
          <w:tcPr>
            <w:tcW w:w="2721" w:type="dxa"/>
          </w:tcPr>
          <w:p w14:paraId="7EB17C2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Стационары всех типов со вспомогательными зданиями и сооружениями</w:t>
            </w:r>
          </w:p>
        </w:tc>
        <w:tc>
          <w:tcPr>
            <w:tcW w:w="3175" w:type="dxa"/>
          </w:tcPr>
          <w:p w14:paraId="79F4AEA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 заданию на проектирование, определяемому органами здравоохранения, но не менее 13,47 коек/1000 чел.</w:t>
            </w:r>
          </w:p>
        </w:tc>
        <w:tc>
          <w:tcPr>
            <w:tcW w:w="3496" w:type="dxa"/>
          </w:tcPr>
          <w:p w14:paraId="3ADCDF10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В соответствии с </w:t>
            </w:r>
            <w:hyperlink r:id="rId21">
              <w:r>
                <w:rPr>
                  <w:rFonts w:ascii="PT Astra Serif" w:hAnsi="PT Astra Serif" w:cs="PT Astra Serif"/>
                  <w:color w:val="0000FF"/>
                </w:rPr>
                <w:t>Нормативами</w:t>
              </w:r>
            </w:hyperlink>
            <w:r>
              <w:rPr>
                <w:rFonts w:ascii="PT Astra Serif" w:hAnsi="PT Astra Serif" w:cs="PT Astra Serif"/>
              </w:rPr>
              <w:t xml:space="preserve"> градостроительного проектирования по Удмуртской Республике, утвержденными постановлением Удмуртской Республики от 04.06.2019 N 228</w:t>
            </w:r>
          </w:p>
        </w:tc>
      </w:tr>
    </w:tbl>
    <w:p w14:paraId="587FFBB9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0E8CFFC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физической культуры и массового спорта</w:t>
      </w:r>
    </w:p>
    <w:p w14:paraId="3E7FBFFA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5F4B3F6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4.5.1. Расчетные показатели минимально допустимого уровня обеспеченности и максимально допустимого уровня территориальной доступности объектами в физической культуры, спорта и культуры для населения Красногорского района приведены в таблице 4.5.1.</w:t>
      </w:r>
    </w:p>
    <w:p w14:paraId="57A8AB8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CCA0920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4.5.1</w:t>
      </w:r>
    </w:p>
    <w:p w14:paraId="6DCD06B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175"/>
        <w:gridCol w:w="3443"/>
      </w:tblGrid>
      <w:tr w:rsidR="00467797" w14:paraId="1A7C0ECD" w14:textId="77777777">
        <w:tc>
          <w:tcPr>
            <w:tcW w:w="2721" w:type="dxa"/>
          </w:tcPr>
          <w:p w14:paraId="6D875825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175" w:type="dxa"/>
          </w:tcPr>
          <w:p w14:paraId="7C4D7029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3443" w:type="dxa"/>
          </w:tcPr>
          <w:p w14:paraId="41D4C45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7907E579" w14:textId="77777777">
        <w:tc>
          <w:tcPr>
            <w:tcW w:w="2721" w:type="dxa"/>
          </w:tcPr>
          <w:p w14:paraId="24508AD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Плоскостные спортивные сооружения</w:t>
            </w:r>
          </w:p>
        </w:tc>
        <w:tc>
          <w:tcPr>
            <w:tcW w:w="3175" w:type="dxa"/>
          </w:tcPr>
          <w:p w14:paraId="40EC298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7000 кв. м на 1000 жителей</w:t>
            </w:r>
          </w:p>
        </w:tc>
        <w:tc>
          <w:tcPr>
            <w:tcW w:w="3443" w:type="dxa"/>
          </w:tcPr>
          <w:p w14:paraId="3F0334A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40 минут транспортной доступности</w:t>
            </w:r>
          </w:p>
        </w:tc>
      </w:tr>
      <w:tr w:rsidR="00467797" w14:paraId="51FB08F8" w14:textId="77777777">
        <w:tc>
          <w:tcPr>
            <w:tcW w:w="2721" w:type="dxa"/>
          </w:tcPr>
          <w:p w14:paraId="3EFB47F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Спортивные залы</w:t>
            </w:r>
          </w:p>
        </w:tc>
        <w:tc>
          <w:tcPr>
            <w:tcW w:w="3175" w:type="dxa"/>
          </w:tcPr>
          <w:p w14:paraId="4905D0F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60 кв. м на 1000 жителей</w:t>
            </w:r>
          </w:p>
        </w:tc>
        <w:tc>
          <w:tcPr>
            <w:tcW w:w="3443" w:type="dxa"/>
          </w:tcPr>
          <w:p w14:paraId="7F2F3B1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</w:tbl>
    <w:p w14:paraId="2693F8A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5B7AB8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23B8FF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20DD1BE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культуры</w:t>
      </w:r>
    </w:p>
    <w:p w14:paraId="67341A8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4EB535D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минимально допустимого уровня обеспеченности и максимально допустимого уровня территориальной доступности объектами культуры для населения Красногорского района приведены в таблице 4.6.1.</w:t>
      </w:r>
    </w:p>
    <w:p w14:paraId="62E9F3D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43C963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35C63C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A6D677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2264E32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4.6.1</w:t>
      </w:r>
    </w:p>
    <w:p w14:paraId="1292761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175"/>
        <w:gridCol w:w="3470"/>
      </w:tblGrid>
      <w:tr w:rsidR="00467797" w14:paraId="147427AE" w14:textId="77777777">
        <w:tc>
          <w:tcPr>
            <w:tcW w:w="2721" w:type="dxa"/>
          </w:tcPr>
          <w:p w14:paraId="17C9CE84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175" w:type="dxa"/>
          </w:tcPr>
          <w:p w14:paraId="34046D3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3470" w:type="dxa"/>
          </w:tcPr>
          <w:p w14:paraId="28DF2AA8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102367E7" w14:textId="77777777">
        <w:tc>
          <w:tcPr>
            <w:tcW w:w="2721" w:type="dxa"/>
          </w:tcPr>
          <w:p w14:paraId="4722FDF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Межпоселенческая библиотека</w:t>
            </w:r>
          </w:p>
        </w:tc>
        <w:tc>
          <w:tcPr>
            <w:tcW w:w="3175" w:type="dxa"/>
          </w:tcPr>
          <w:p w14:paraId="2476296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библиотека на административный центр района</w:t>
            </w:r>
          </w:p>
        </w:tc>
        <w:tc>
          <w:tcPr>
            <w:tcW w:w="3470" w:type="dxa"/>
          </w:tcPr>
          <w:p w14:paraId="641F162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17A0D54B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30 минут - 1 час транспортной </w:t>
            </w:r>
            <w:r>
              <w:rPr>
                <w:rFonts w:ascii="PT Astra Serif" w:hAnsi="PT Astra Serif" w:cs="PT Astra Serif"/>
              </w:rPr>
              <w:lastRenderedPageBreak/>
              <w:t>доступности</w:t>
            </w:r>
          </w:p>
        </w:tc>
      </w:tr>
      <w:tr w:rsidR="00467797" w14:paraId="790DD594" w14:textId="77777777">
        <w:tc>
          <w:tcPr>
            <w:tcW w:w="2721" w:type="dxa"/>
          </w:tcPr>
          <w:p w14:paraId="3955D19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Детская библиотека</w:t>
            </w:r>
          </w:p>
        </w:tc>
        <w:tc>
          <w:tcPr>
            <w:tcW w:w="3175" w:type="dxa"/>
          </w:tcPr>
          <w:p w14:paraId="2C56BBC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библиотека на административный центр района</w:t>
            </w:r>
          </w:p>
        </w:tc>
        <w:tc>
          <w:tcPr>
            <w:tcW w:w="3470" w:type="dxa"/>
          </w:tcPr>
          <w:p w14:paraId="166E183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18A47AF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- 1 час транспортной доступности</w:t>
            </w:r>
          </w:p>
        </w:tc>
      </w:tr>
      <w:tr w:rsidR="00467797" w14:paraId="1D35A4BD" w14:textId="77777777">
        <w:tc>
          <w:tcPr>
            <w:tcW w:w="2721" w:type="dxa"/>
          </w:tcPr>
          <w:p w14:paraId="22C7810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Районный Дом культуры</w:t>
            </w:r>
          </w:p>
        </w:tc>
        <w:tc>
          <w:tcPr>
            <w:tcW w:w="3175" w:type="dxa"/>
          </w:tcPr>
          <w:p w14:paraId="5AADE9E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независимо от количества населения</w:t>
            </w:r>
          </w:p>
        </w:tc>
        <w:tc>
          <w:tcPr>
            <w:tcW w:w="3470" w:type="dxa"/>
          </w:tcPr>
          <w:p w14:paraId="5CF2D5C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6B00EA9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550947C0" w14:textId="77777777">
        <w:tc>
          <w:tcPr>
            <w:tcW w:w="2721" w:type="dxa"/>
          </w:tcPr>
          <w:p w14:paraId="2DFDAB85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Районный Дом ремесел</w:t>
            </w:r>
          </w:p>
        </w:tc>
        <w:tc>
          <w:tcPr>
            <w:tcW w:w="3175" w:type="dxa"/>
          </w:tcPr>
          <w:p w14:paraId="77A9E46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независимо от количества населения</w:t>
            </w:r>
          </w:p>
        </w:tc>
        <w:tc>
          <w:tcPr>
            <w:tcW w:w="3470" w:type="dxa"/>
          </w:tcPr>
          <w:p w14:paraId="4BAB5FFD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088E456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357E6E37" w14:textId="77777777">
        <w:tc>
          <w:tcPr>
            <w:tcW w:w="2721" w:type="dxa"/>
          </w:tcPr>
          <w:p w14:paraId="6012679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Районный методический центр</w:t>
            </w:r>
          </w:p>
        </w:tc>
        <w:tc>
          <w:tcPr>
            <w:tcW w:w="3175" w:type="dxa"/>
          </w:tcPr>
          <w:p w14:paraId="3D1CF9B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независимо от количества населения</w:t>
            </w:r>
          </w:p>
        </w:tc>
        <w:tc>
          <w:tcPr>
            <w:tcW w:w="3470" w:type="dxa"/>
          </w:tcPr>
          <w:p w14:paraId="1BA42CC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0457C07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10CB1565" w14:textId="77777777">
        <w:tc>
          <w:tcPr>
            <w:tcW w:w="2721" w:type="dxa"/>
          </w:tcPr>
          <w:p w14:paraId="4E57128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Дом культуры, сельский клуб</w:t>
            </w:r>
          </w:p>
        </w:tc>
        <w:tc>
          <w:tcPr>
            <w:tcW w:w="3175" w:type="dxa"/>
          </w:tcPr>
          <w:p w14:paraId="7D6F1AC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клуб на 1 тыс. жителей</w:t>
            </w:r>
          </w:p>
        </w:tc>
        <w:tc>
          <w:tcPr>
            <w:tcW w:w="3470" w:type="dxa"/>
          </w:tcPr>
          <w:p w14:paraId="2A647FD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6C8A4D7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36B3C4E8" w14:textId="77777777">
        <w:tc>
          <w:tcPr>
            <w:tcW w:w="2721" w:type="dxa"/>
          </w:tcPr>
          <w:p w14:paraId="5A006FA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Историко-художественный музей</w:t>
            </w:r>
          </w:p>
        </w:tc>
        <w:tc>
          <w:tcPr>
            <w:tcW w:w="3175" w:type="dxa"/>
          </w:tcPr>
          <w:p w14:paraId="5DC90B3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независимо от количества населения</w:t>
            </w:r>
          </w:p>
        </w:tc>
        <w:tc>
          <w:tcPr>
            <w:tcW w:w="3470" w:type="dxa"/>
          </w:tcPr>
          <w:p w14:paraId="04C07F9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15 - 30 минут шаговой доступности;</w:t>
            </w:r>
          </w:p>
          <w:p w14:paraId="67EAD32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- 1 час транспортной доступности</w:t>
            </w:r>
          </w:p>
        </w:tc>
      </w:tr>
    </w:tbl>
    <w:p w14:paraId="2995B92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FED8BFF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720ACA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B8B3AB0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общественного питания торговли</w:t>
      </w:r>
    </w:p>
    <w:p w14:paraId="77572D21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и бытового обслуживания</w:t>
      </w:r>
    </w:p>
    <w:p w14:paraId="666B37D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A4AC9EA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4.7.1 Расчетные показатели минимально допустимого уровня обеспеченности и максимально допустимого уровня территориальной доступности объектами общественного питания, торговли и бытового обслуживания для населения Увинского района приведены в таблице 4.7.1.</w:t>
      </w:r>
    </w:p>
    <w:p w14:paraId="6230EB6D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9C4912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500ABB4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15C7F6E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356CB1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3B9F16C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4.7.1</w:t>
      </w:r>
    </w:p>
    <w:p w14:paraId="2F6F7B5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175"/>
        <w:gridCol w:w="3443"/>
      </w:tblGrid>
      <w:tr w:rsidR="00467797" w14:paraId="1563227B" w14:textId="77777777">
        <w:tc>
          <w:tcPr>
            <w:tcW w:w="2721" w:type="dxa"/>
          </w:tcPr>
          <w:p w14:paraId="62DAF6BE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175" w:type="dxa"/>
          </w:tcPr>
          <w:p w14:paraId="0538BDD4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3443" w:type="dxa"/>
          </w:tcPr>
          <w:p w14:paraId="6CD72995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707F5907" w14:textId="77777777">
        <w:tc>
          <w:tcPr>
            <w:tcW w:w="2721" w:type="dxa"/>
          </w:tcPr>
          <w:p w14:paraId="172E8B2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Торговые центры</w:t>
            </w:r>
          </w:p>
        </w:tc>
        <w:tc>
          <w:tcPr>
            <w:tcW w:w="3175" w:type="dxa"/>
          </w:tcPr>
          <w:p w14:paraId="6F9CE8B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326 кв. м торговой площади на 1000 жителей </w:t>
            </w:r>
            <w:hyperlink w:anchor="P433">
              <w:r>
                <w:rPr>
                  <w:rFonts w:ascii="PT Astra Serif" w:hAnsi="PT Astra Serif" w:cs="PT Astra Serif"/>
                  <w:color w:val="0000FF"/>
                </w:rPr>
                <w:t>&lt;*&gt;</w:t>
              </w:r>
            </w:hyperlink>
          </w:p>
        </w:tc>
        <w:tc>
          <w:tcPr>
            <w:tcW w:w="3443" w:type="dxa"/>
          </w:tcPr>
          <w:p w14:paraId="7198083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5B03ADDA" w14:textId="77777777">
        <w:tc>
          <w:tcPr>
            <w:tcW w:w="2721" w:type="dxa"/>
          </w:tcPr>
          <w:p w14:paraId="60874CE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Магазин продовольственных товаров</w:t>
            </w:r>
          </w:p>
        </w:tc>
        <w:tc>
          <w:tcPr>
            <w:tcW w:w="3175" w:type="dxa"/>
          </w:tcPr>
          <w:p w14:paraId="419E921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119 кв. м торговой площади на 1000 жителей </w:t>
            </w:r>
            <w:hyperlink w:anchor="P433">
              <w:r>
                <w:rPr>
                  <w:rFonts w:ascii="PT Astra Serif" w:hAnsi="PT Astra Serif" w:cs="PT Astra Serif"/>
                  <w:color w:val="0000FF"/>
                </w:rPr>
                <w:t>&lt;*&gt;</w:t>
              </w:r>
            </w:hyperlink>
          </w:p>
        </w:tc>
        <w:tc>
          <w:tcPr>
            <w:tcW w:w="3443" w:type="dxa"/>
          </w:tcPr>
          <w:p w14:paraId="7B57311A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минут пешеходной доступности</w:t>
            </w:r>
          </w:p>
        </w:tc>
      </w:tr>
      <w:tr w:rsidR="00467797" w14:paraId="7E106AE1" w14:textId="77777777">
        <w:tc>
          <w:tcPr>
            <w:tcW w:w="2721" w:type="dxa"/>
          </w:tcPr>
          <w:p w14:paraId="3731645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Магазин непродовольственных товаров</w:t>
            </w:r>
          </w:p>
        </w:tc>
        <w:tc>
          <w:tcPr>
            <w:tcW w:w="3175" w:type="dxa"/>
          </w:tcPr>
          <w:p w14:paraId="7CE2C61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207 кв. м торговой площади на 1000 жителей </w:t>
            </w:r>
            <w:hyperlink w:anchor="P433">
              <w:r>
                <w:rPr>
                  <w:rFonts w:ascii="PT Astra Serif" w:hAnsi="PT Astra Serif" w:cs="PT Astra Serif"/>
                  <w:color w:val="0000FF"/>
                </w:rPr>
                <w:t>&lt;*&gt;</w:t>
              </w:r>
            </w:hyperlink>
          </w:p>
        </w:tc>
        <w:tc>
          <w:tcPr>
            <w:tcW w:w="3443" w:type="dxa"/>
          </w:tcPr>
          <w:p w14:paraId="22D5C5C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пешеходной доступности</w:t>
            </w:r>
          </w:p>
        </w:tc>
      </w:tr>
      <w:tr w:rsidR="00467797" w14:paraId="3A47400E" w14:textId="77777777">
        <w:tc>
          <w:tcPr>
            <w:tcW w:w="2721" w:type="dxa"/>
          </w:tcPr>
          <w:p w14:paraId="56E13DE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Предприятие общественного питания</w:t>
            </w:r>
          </w:p>
        </w:tc>
        <w:tc>
          <w:tcPr>
            <w:tcW w:w="3175" w:type="dxa"/>
          </w:tcPr>
          <w:p w14:paraId="1A10FD5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40 посадочных мест на 1000 жителей</w:t>
            </w:r>
          </w:p>
        </w:tc>
        <w:tc>
          <w:tcPr>
            <w:tcW w:w="3443" w:type="dxa"/>
          </w:tcPr>
          <w:p w14:paraId="18D4E44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  <w:tr w:rsidR="00467797" w14:paraId="170A1A1A" w14:textId="77777777">
        <w:tc>
          <w:tcPr>
            <w:tcW w:w="2721" w:type="dxa"/>
          </w:tcPr>
          <w:p w14:paraId="5A712A02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Предприятия бытового обслуживания населения</w:t>
            </w:r>
          </w:p>
        </w:tc>
        <w:tc>
          <w:tcPr>
            <w:tcW w:w="3175" w:type="dxa"/>
          </w:tcPr>
          <w:p w14:paraId="42656F2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 рабочих мест на 1000 жителей</w:t>
            </w:r>
          </w:p>
        </w:tc>
        <w:tc>
          <w:tcPr>
            <w:tcW w:w="3443" w:type="dxa"/>
          </w:tcPr>
          <w:p w14:paraId="486648F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30 минут транспортной доступности</w:t>
            </w:r>
          </w:p>
        </w:tc>
      </w:tr>
    </w:tbl>
    <w:p w14:paraId="7998204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C1B0C8C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Примечание:</w:t>
      </w:r>
    </w:p>
    <w:p w14:paraId="14BD3F1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bookmarkStart w:id="0" w:name="P433"/>
      <w:bookmarkEnd w:id="0"/>
      <w:r>
        <w:rPr>
          <w:rFonts w:ascii="PT Astra Serif" w:hAnsi="PT Astra Serif" w:cs="PT Astra Serif"/>
        </w:rPr>
        <w:t xml:space="preserve">&lt;*&gt; В соответствии с </w:t>
      </w:r>
      <w:hyperlink r:id="rId22">
        <w:r>
          <w:rPr>
            <w:rFonts w:ascii="PT Astra Serif" w:hAnsi="PT Astra Serif" w:cs="PT Astra Serif"/>
            <w:color w:val="0000FF"/>
          </w:rPr>
          <w:t>постановлением</w:t>
        </w:r>
      </w:hyperlink>
      <w:r>
        <w:rPr>
          <w:rFonts w:ascii="PT Astra Serif" w:hAnsi="PT Astra Serif" w:cs="PT Astra Serif"/>
        </w:rPr>
        <w:t xml:space="preserve"> Правительства УР от 29.08.2023 N 580 "Об утверждении нормативов минимальной обеспеченности населения Удмуртской Республики площадью торговых объектов".</w:t>
      </w:r>
    </w:p>
    <w:p w14:paraId="3B29FBDF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4B05B6C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размещения, обезвреживания и утилизации твердых</w:t>
      </w:r>
    </w:p>
    <w:p w14:paraId="0CB02E08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коммунальных отходов</w:t>
      </w:r>
    </w:p>
    <w:p w14:paraId="5DE29CA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9A1ACC1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4.8.1. Расчетные показатели минимально допустимого уровня обеспеченности и максимально допустимого уровня территориальной доступности объектов обработки, утилизации, обезвреживания, размещения отходов приведены в таблице 4.8.1.</w:t>
      </w:r>
    </w:p>
    <w:p w14:paraId="2A6D5762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FBE1A53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4.8.1</w:t>
      </w:r>
    </w:p>
    <w:p w14:paraId="7B04C62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175"/>
        <w:gridCol w:w="3470"/>
      </w:tblGrid>
      <w:tr w:rsidR="00467797" w14:paraId="0B0DB2E2" w14:textId="77777777">
        <w:tc>
          <w:tcPr>
            <w:tcW w:w="2721" w:type="dxa"/>
            <w:vMerge w:val="restart"/>
          </w:tcPr>
          <w:p w14:paraId="0133BF5C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объектов</w:t>
            </w:r>
          </w:p>
        </w:tc>
        <w:tc>
          <w:tcPr>
            <w:tcW w:w="6645" w:type="dxa"/>
            <w:gridSpan w:val="2"/>
          </w:tcPr>
          <w:p w14:paraId="3940EE96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</w:t>
            </w:r>
          </w:p>
        </w:tc>
      </w:tr>
      <w:tr w:rsidR="00467797" w14:paraId="7E134D9E" w14:textId="77777777">
        <w:tc>
          <w:tcPr>
            <w:tcW w:w="2721" w:type="dxa"/>
            <w:vMerge/>
          </w:tcPr>
          <w:p w14:paraId="2794447F" w14:textId="77777777" w:rsidR="00467797" w:rsidRDefault="00467797">
            <w:pPr>
              <w:pStyle w:val="ConsPlusNormal"/>
              <w:rPr>
                <w:rFonts w:ascii="PT Astra Serif" w:hAnsi="PT Astra Serif" w:cs="PT Astra Serif"/>
              </w:rPr>
            </w:pPr>
          </w:p>
        </w:tc>
        <w:tc>
          <w:tcPr>
            <w:tcW w:w="3175" w:type="dxa"/>
          </w:tcPr>
          <w:p w14:paraId="7E147F0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минимально допустимого уровня обеспеченности</w:t>
            </w:r>
          </w:p>
        </w:tc>
        <w:tc>
          <w:tcPr>
            <w:tcW w:w="3470" w:type="dxa"/>
          </w:tcPr>
          <w:p w14:paraId="735AD11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максимально допустимого уровня территориальной доступности</w:t>
            </w:r>
          </w:p>
        </w:tc>
      </w:tr>
      <w:tr w:rsidR="00467797" w14:paraId="2B57D87E" w14:textId="77777777">
        <w:tc>
          <w:tcPr>
            <w:tcW w:w="2721" w:type="dxa"/>
          </w:tcPr>
          <w:p w14:paraId="45959B83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обработки, утилизации, обезвреживания, размещения отходов</w:t>
            </w:r>
          </w:p>
        </w:tc>
        <w:tc>
          <w:tcPr>
            <w:tcW w:w="3175" w:type="dxa"/>
          </w:tcPr>
          <w:p w14:paraId="177BC6D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Определяется территориальной схемой обращения с отходами, в том числе с твердыми коммунальными отходами, на территории Удмуртской Республики</w:t>
            </w:r>
          </w:p>
        </w:tc>
        <w:tc>
          <w:tcPr>
            <w:tcW w:w="3470" w:type="dxa"/>
          </w:tcPr>
          <w:p w14:paraId="0287B5D8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Не нормируется</w:t>
            </w:r>
          </w:p>
        </w:tc>
      </w:tr>
    </w:tbl>
    <w:p w14:paraId="64191604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16E89CB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Размещение временных площадок для хранения твердых коммунальных отходов на территории Красногорского района недопустимо.</w:t>
      </w:r>
    </w:p>
    <w:p w14:paraId="78A911A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Размещение, хранение и утилизация твердых бытовых отходов на территории Красногорского района недопустимо .</w:t>
      </w:r>
    </w:p>
    <w:p w14:paraId="0916220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1237C5F" w14:textId="77777777" w:rsidR="00467797" w:rsidRDefault="00000000">
      <w:pPr>
        <w:pStyle w:val="ConsPlusNormal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защиты населения и охраны общественного порядка</w:t>
      </w:r>
    </w:p>
    <w:p w14:paraId="39671397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26761D8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4.9.1 Расчетные показатели минимально допустимого уровня обеспеченности и максимально допустимого уровня территориальной доступности объектами гражданской </w:t>
      </w:r>
      <w:r>
        <w:rPr>
          <w:rFonts w:ascii="PT Astra Serif" w:hAnsi="PT Astra Serif" w:cs="PT Astra Serif"/>
        </w:rPr>
        <w:lastRenderedPageBreak/>
        <w:t>обороны, защиты населения и охраны общественного порядка для населения Красногорского района приведены в таблице 4.9.1.</w:t>
      </w:r>
    </w:p>
    <w:p w14:paraId="13217B15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4.9.1</w:t>
      </w:r>
    </w:p>
    <w:p w14:paraId="067B7F6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3424"/>
        <w:gridCol w:w="2947"/>
      </w:tblGrid>
      <w:tr w:rsidR="00467797" w14:paraId="36EFB2F0" w14:textId="77777777">
        <w:tc>
          <w:tcPr>
            <w:tcW w:w="3004" w:type="dxa"/>
          </w:tcPr>
          <w:p w14:paraId="4AD3D47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Наименование одного или нескольких видов объектов местного значения муниципального образования</w:t>
            </w:r>
          </w:p>
        </w:tc>
        <w:tc>
          <w:tcPr>
            <w:tcW w:w="3424" w:type="dxa"/>
          </w:tcPr>
          <w:p w14:paraId="3B8B5DC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2947" w:type="dxa"/>
          </w:tcPr>
          <w:p w14:paraId="6C98A49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максимально допустимого уровня территориальной доступности объектов</w:t>
            </w:r>
          </w:p>
        </w:tc>
      </w:tr>
      <w:tr w:rsidR="00467797" w14:paraId="4C29550F" w14:textId="77777777">
        <w:tc>
          <w:tcPr>
            <w:tcW w:w="3004" w:type="dxa"/>
          </w:tcPr>
          <w:p w14:paraId="24B078E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Помещение участкового уполномоченного полиции</w:t>
            </w:r>
          </w:p>
        </w:tc>
        <w:tc>
          <w:tcPr>
            <w:tcW w:w="3424" w:type="dxa"/>
          </w:tcPr>
          <w:p w14:paraId="211C10D7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 помещение в муниципальном образовании</w:t>
            </w:r>
          </w:p>
        </w:tc>
        <w:tc>
          <w:tcPr>
            <w:tcW w:w="2947" w:type="dxa"/>
          </w:tcPr>
          <w:p w14:paraId="4CBEBB6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 минут транспортной доступности</w:t>
            </w:r>
          </w:p>
        </w:tc>
      </w:tr>
    </w:tbl>
    <w:p w14:paraId="68B10214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9A9AD1A" w14:textId="77777777" w:rsidR="00467797" w:rsidRDefault="00000000">
      <w:pPr>
        <w:pStyle w:val="ConsPlusNormal"/>
        <w:ind w:firstLine="567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bCs/>
        </w:rPr>
        <w:t>Объекты велосипедной инфраструктуры</w:t>
      </w:r>
    </w:p>
    <w:p w14:paraId="2D62B79B" w14:textId="77777777" w:rsidR="00467797" w:rsidRDefault="00467797">
      <w:pPr>
        <w:pStyle w:val="ConsPlusNormal"/>
        <w:ind w:firstLine="567"/>
        <w:jc w:val="both"/>
        <w:rPr>
          <w:rFonts w:ascii="PT Astra Serif" w:hAnsi="PT Astra Serif" w:cs="PT Astra Serif"/>
        </w:rPr>
      </w:pPr>
    </w:p>
    <w:p w14:paraId="3F2A8422" w14:textId="77777777" w:rsidR="00467797" w:rsidRDefault="00000000">
      <w:pPr>
        <w:pStyle w:val="ConsPlusNormal"/>
        <w:ind w:firstLine="567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4.10 Расчетные показатели допустимого уровня обеспеченности объектами велосипедной инфраструктуры представлены в таблицах 4.10.1 и 4.10.2 </w:t>
      </w:r>
    </w:p>
    <w:p w14:paraId="5D1BE97C" w14:textId="77777777" w:rsidR="00467797" w:rsidRDefault="00467797">
      <w:pPr>
        <w:pStyle w:val="ConsPlusNormal"/>
        <w:ind w:firstLine="567"/>
        <w:jc w:val="both"/>
        <w:rPr>
          <w:rFonts w:ascii="PT Astra Serif" w:hAnsi="PT Astra Serif" w:cs="PT Astra Serif"/>
        </w:rPr>
      </w:pPr>
    </w:p>
    <w:p w14:paraId="12D931C9" w14:textId="77777777" w:rsidR="00467797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Основные характеристики велодорожек, велопешеходных дорожек представлены в таблице 4.10.1</w:t>
      </w:r>
    </w:p>
    <w:p w14:paraId="3157A989" w14:textId="77777777" w:rsidR="00467797" w:rsidRDefault="00000000">
      <w:pPr>
        <w:pStyle w:val="ConsPlusNormal"/>
        <w:ind w:firstLine="567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4.10.1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422"/>
        <w:gridCol w:w="2252"/>
        <w:gridCol w:w="2176"/>
      </w:tblGrid>
      <w:tr w:rsidR="00467797" w14:paraId="399A59FA" w14:textId="7777777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CB7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N п/п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7E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Нормируемый параметр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8C4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Минимальные значения</w:t>
            </w:r>
          </w:p>
        </w:tc>
      </w:tr>
      <w:tr w:rsidR="00467797" w14:paraId="516F9518" w14:textId="7777777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6C8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3421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980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 новом строительстве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2D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стесненных условиях</w:t>
            </w:r>
          </w:p>
        </w:tc>
      </w:tr>
      <w:tr w:rsidR="00467797" w14:paraId="4C513840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AA4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9F6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00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2D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</w:t>
            </w:r>
          </w:p>
        </w:tc>
      </w:tr>
      <w:tr w:rsidR="00467797" w14:paraId="11ED2D6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C50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00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Расчетная скорость движения, км/ч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14D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25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362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</w:t>
            </w:r>
          </w:p>
        </w:tc>
      </w:tr>
      <w:tr w:rsidR="00467797" w14:paraId="24E79122" w14:textId="7777777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506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CE319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Ширина проезжей части для движения, м, не менее: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0F698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PT Astra Serif" w:hAnsi="PT Astra Serif" w:cs="PT Astra Serif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10E20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</w:p>
        </w:tc>
      </w:tr>
      <w:tr w:rsidR="00467797" w14:paraId="0DC03C09" w14:textId="7777777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7EF8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</w:p>
        </w:tc>
        <w:tc>
          <w:tcPr>
            <w:tcW w:w="4422" w:type="dxa"/>
            <w:tcBorders>
              <w:left w:val="single" w:sz="4" w:space="0" w:color="auto"/>
              <w:right w:val="single" w:sz="4" w:space="0" w:color="auto"/>
            </w:tcBorders>
          </w:tcPr>
          <w:p w14:paraId="348EE41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однополосного одностороннего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14:paraId="68D0DA5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1,0 - 1,5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</w:tcPr>
          <w:p w14:paraId="2F55E85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0,75 - 1,0</w:t>
            </w:r>
          </w:p>
        </w:tc>
      </w:tr>
      <w:tr w:rsidR="00467797" w14:paraId="51F5B340" w14:textId="7777777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EF9A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4422" w:type="dxa"/>
            <w:tcBorders>
              <w:left w:val="single" w:sz="4" w:space="0" w:color="auto"/>
              <w:right w:val="single" w:sz="4" w:space="0" w:color="auto"/>
            </w:tcBorders>
          </w:tcPr>
          <w:p w14:paraId="04B3A19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двухполосного одностороннего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</w:tcPr>
          <w:p w14:paraId="7A4BE67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1,75 - 2,5</w:t>
            </w:r>
          </w:p>
        </w:tc>
        <w:tc>
          <w:tcPr>
            <w:tcW w:w="2176" w:type="dxa"/>
            <w:tcBorders>
              <w:left w:val="single" w:sz="4" w:space="0" w:color="auto"/>
              <w:right w:val="single" w:sz="4" w:space="0" w:color="auto"/>
            </w:tcBorders>
          </w:tcPr>
          <w:p w14:paraId="4CD63D2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1,50</w:t>
            </w:r>
          </w:p>
        </w:tc>
      </w:tr>
      <w:tr w:rsidR="00467797" w14:paraId="1C1271D9" w14:textId="7777777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782A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4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BBE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двухполосного со встречным движением</w:t>
            </w:r>
          </w:p>
        </w:tc>
        <w:tc>
          <w:tcPr>
            <w:tcW w:w="2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3BD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2,50 - 3,6</w:t>
            </w:r>
          </w:p>
        </w:tc>
        <w:tc>
          <w:tcPr>
            <w:tcW w:w="2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DC4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2,00</w:t>
            </w:r>
          </w:p>
        </w:tc>
      </w:tr>
      <w:tr w:rsidR="00467797" w14:paraId="4A016C62" w14:textId="7777777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493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332A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Ширина велосипедной и пешеходной дорожки с разделением движения дорожной разметкой, м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CD3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4,0 - 6,0 </w:t>
            </w:r>
            <w:hyperlink w:anchor="Par49" w:history="1">
              <w:r>
                <w:rPr>
                  <w:rFonts w:ascii="PT Astra Serif" w:hAnsi="PT Astra Serif" w:cs="PT Astra Serif"/>
                  <w:color w:val="0000FF"/>
                </w:rPr>
                <w:t>&lt;*&gt;</w:t>
              </w:r>
            </w:hyperlink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F98A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3,25 </w:t>
            </w:r>
            <w:hyperlink w:anchor="Par50" w:history="1">
              <w:r>
                <w:rPr>
                  <w:rFonts w:ascii="PT Astra Serif" w:hAnsi="PT Astra Serif" w:cs="PT Astra Serif"/>
                  <w:color w:val="0000FF"/>
                </w:rPr>
                <w:t>&lt;**&gt;</w:t>
              </w:r>
            </w:hyperlink>
          </w:p>
        </w:tc>
      </w:tr>
      <w:tr w:rsidR="00467797" w14:paraId="76607456" w14:textId="7777777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BA5A" w14:textId="77777777" w:rsidR="00467797" w:rsidRDefault="00467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4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E4D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Ширина велопешеходной дорожки, м</w:t>
            </w:r>
          </w:p>
        </w:tc>
        <w:tc>
          <w:tcPr>
            <w:tcW w:w="2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C7C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2,5 - 3,0 </w:t>
            </w:r>
            <w:hyperlink w:anchor="Par51" w:history="1">
              <w:r>
                <w:rPr>
                  <w:rFonts w:ascii="PT Astra Serif" w:hAnsi="PT Astra Serif" w:cs="PT Astra Serif"/>
                  <w:color w:val="0000FF"/>
                </w:rPr>
                <w:t>&lt;***&gt;</w:t>
              </w:r>
            </w:hyperlink>
          </w:p>
        </w:tc>
        <w:tc>
          <w:tcPr>
            <w:tcW w:w="2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00C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2,0 </w:t>
            </w:r>
            <w:hyperlink w:anchor="Par52" w:history="1">
              <w:r>
                <w:rPr>
                  <w:rFonts w:ascii="PT Astra Serif" w:hAnsi="PT Astra Serif" w:cs="PT Astra Serif"/>
                  <w:color w:val="0000FF"/>
                </w:rPr>
                <w:t>&lt;****&gt;</w:t>
              </w:r>
            </w:hyperlink>
          </w:p>
        </w:tc>
      </w:tr>
      <w:tr w:rsidR="00467797" w14:paraId="77AF88A8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0C7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099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Наибольший продольный уклон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05D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40 - 60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222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50 - 70</w:t>
            </w:r>
          </w:p>
        </w:tc>
      </w:tr>
      <w:tr w:rsidR="00467797" w14:paraId="5E90B411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7D1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5A3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Поперечный уклон проезжей части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41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15 - 20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8E5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</w:t>
            </w:r>
          </w:p>
        </w:tc>
      </w:tr>
      <w:tr w:rsidR="00467797" w14:paraId="482E87B0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DD0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EC4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Габарит по высоте, м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2E3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2,50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E12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2,25</w:t>
            </w:r>
          </w:p>
        </w:tc>
      </w:tr>
      <w:tr w:rsidR="00467797" w14:paraId="6AAC3962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CF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9D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Минимальное расстояние до бокового препятствия, м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E3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0,50 согласно "</w:t>
            </w:r>
            <w:hyperlink r:id="rId23" w:history="1">
              <w:r>
                <w:rPr>
                  <w:rFonts w:ascii="PT Astra Serif" w:hAnsi="PT Astra Serif" w:cs="PT Astra Serif"/>
                  <w:color w:val="0000FF"/>
                </w:rPr>
                <w:t>СП 396.1325800.2018</w:t>
              </w:r>
            </w:hyperlink>
            <w:r>
              <w:rPr>
                <w:rFonts w:ascii="PT Astra Serif" w:hAnsi="PT Astra Serif" w:cs="PT Astra Serif"/>
              </w:rPr>
              <w:t xml:space="preserve">. Свод правил. Улицы и дороги населенных пунктов. Правила </w:t>
            </w:r>
            <w:r>
              <w:rPr>
                <w:rFonts w:ascii="PT Astra Serif" w:hAnsi="PT Astra Serif" w:cs="PT Astra Serif"/>
              </w:rPr>
              <w:lastRenderedPageBreak/>
              <w:t>градостроительного проектирования" (далее - СП 396.1325800.2018)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319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 xml:space="preserve">0,50 согласно </w:t>
            </w:r>
            <w:hyperlink r:id="rId24" w:history="1">
              <w:r>
                <w:rPr>
                  <w:rFonts w:ascii="PT Astra Serif" w:hAnsi="PT Astra Serif" w:cs="PT Astra Serif"/>
                  <w:color w:val="0000FF"/>
                </w:rPr>
                <w:t>СП 396.1325800.2018</w:t>
              </w:r>
            </w:hyperlink>
          </w:p>
        </w:tc>
      </w:tr>
      <w:tr w:rsidR="00467797" w14:paraId="794C4083" w14:textId="77777777">
        <w:tc>
          <w:tcPr>
            <w:tcW w:w="93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24209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bookmarkStart w:id="1" w:name="Par49"/>
            <w:bookmarkEnd w:id="1"/>
            <w:r>
              <w:rPr>
                <w:rFonts w:ascii="PT Astra Serif" w:hAnsi="PT Astra Serif" w:cs="PT Astra Serif"/>
              </w:rPr>
              <w:t>&lt;*&gt; Ширина пешеходной дорожки 1,5 м, велосипедной - 2,5 м.</w:t>
            </w:r>
          </w:p>
        </w:tc>
      </w:tr>
      <w:tr w:rsidR="00467797" w14:paraId="1518855C" w14:textId="77777777">
        <w:tc>
          <w:tcPr>
            <w:tcW w:w="930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D53DB7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bookmarkStart w:id="2" w:name="Par50"/>
            <w:bookmarkEnd w:id="2"/>
            <w:r>
              <w:rPr>
                <w:rFonts w:ascii="PT Astra Serif" w:hAnsi="PT Astra Serif" w:cs="PT Astra Serif"/>
              </w:rPr>
              <w:t>&lt;**&gt; Ширина пешеходной дорожки 1,5 м, велосипедной - 1,75 м.</w:t>
            </w:r>
          </w:p>
        </w:tc>
      </w:tr>
      <w:tr w:rsidR="00467797" w14:paraId="48C7354B" w14:textId="77777777">
        <w:tc>
          <w:tcPr>
            <w:tcW w:w="930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8C0D56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bookmarkStart w:id="3" w:name="Par51"/>
            <w:bookmarkEnd w:id="3"/>
            <w:r>
              <w:rPr>
                <w:rFonts w:ascii="PT Astra Serif" w:hAnsi="PT Astra Serif" w:cs="PT Astra Serif"/>
              </w:rPr>
              <w:t>&lt;***&gt; При интенсивности движения не более 30 вел./ч и 15 пеш./ч.</w:t>
            </w:r>
          </w:p>
        </w:tc>
      </w:tr>
      <w:tr w:rsidR="00467797" w14:paraId="0C6A9796" w14:textId="77777777">
        <w:tc>
          <w:tcPr>
            <w:tcW w:w="93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618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bookmarkStart w:id="4" w:name="Par52"/>
            <w:bookmarkEnd w:id="4"/>
            <w:r>
              <w:rPr>
                <w:rFonts w:ascii="PT Astra Serif" w:hAnsi="PT Astra Serif" w:cs="PT Astra Serif"/>
              </w:rPr>
              <w:t>&lt;****&gt; При интенсивности движения не более 30 вел./ч и 50 пеш./ч.</w:t>
            </w:r>
          </w:p>
          <w:p w14:paraId="492E455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Примечание. Устройство велосипедных дорожек и велопешеходных дорожек следует предусматривать в качестве самостоятельных элементов сети дорог на стадии проектирования, строительства и реконструкции участков сети дорог, зон жилой застройки, общественных центров, в том числе торговых центров, учебных заведений, зон рекреации, на объектах транспорта (включая автовокзалы, автостанции, станции поездов пригородного сообщения, остановочные пункты) и на подходах к ним.</w:t>
            </w:r>
          </w:p>
          <w:p w14:paraId="0F28126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 размещении объектов нового строительства, предусматривающих комплексную многоквартирную жилую застройку, рекомендуется организовывать велотранспортную инфраструктуру на рекреационных территориях, в том числе для детей в пределах участка, отведенного под застройку объекта.</w:t>
            </w:r>
          </w:p>
          <w:p w14:paraId="0F559D9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Велодорожки, велопешеходные дорожки должны размещаться вдоль автомобильных дорог общего пользования (элементов улично-дорожной сети населенного пункта), в жилых кварталах, в озелененных территориях общего пользования, вдоль набережных.</w:t>
            </w:r>
          </w:p>
          <w:p w14:paraId="628B132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 зонах массового отдыха населения и на других озелененных территориях рекомендуется предусматривать велодорожки, изолированные от улиц, дорог и пешеходного движения</w:t>
            </w:r>
          </w:p>
        </w:tc>
      </w:tr>
    </w:tbl>
    <w:p w14:paraId="704615DA" w14:textId="77777777" w:rsidR="00467797" w:rsidRDefault="00467797">
      <w:pPr>
        <w:pStyle w:val="ConsPlusNormal"/>
        <w:ind w:firstLine="567"/>
        <w:jc w:val="both"/>
        <w:rPr>
          <w:rFonts w:ascii="PT Astra Serif" w:hAnsi="PT Astra Serif" w:cs="PT Astra Serif"/>
        </w:rPr>
      </w:pPr>
    </w:p>
    <w:p w14:paraId="4BC14D85" w14:textId="77777777" w:rsidR="00467797" w:rsidRDefault="00000000">
      <w:pPr>
        <w:pStyle w:val="ConsPlusNormal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Расчетные показатели количества парковочных мест для велосипедов представлены в таблице 4.10.2</w:t>
      </w:r>
    </w:p>
    <w:p w14:paraId="51C7D4F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A40CB0F" w14:textId="77777777" w:rsidR="00467797" w:rsidRDefault="00000000">
      <w:pPr>
        <w:pStyle w:val="ConsPlusNormal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4.10.2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046"/>
        <w:gridCol w:w="3901"/>
      </w:tblGrid>
      <w:tr w:rsidR="00467797" w14:paraId="4E0E903A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F06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N п/п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6F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Тип объекта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1A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Расчетные показатели количества парковочных мест для велосипедов</w:t>
            </w:r>
          </w:p>
        </w:tc>
      </w:tr>
      <w:tr w:rsidR="00467797" w14:paraId="3FCF02DF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DE2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88C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3C1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</w:t>
            </w:r>
          </w:p>
        </w:tc>
      </w:tr>
      <w:tr w:rsidR="00467797" w14:paraId="3AF5FFA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F2C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F7B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административно-делового назначения</w:t>
            </w:r>
          </w:p>
        </w:tc>
      </w:tr>
      <w:tr w:rsidR="00467797" w14:paraId="1E1732A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153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A24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Коммерческо-деловые центры, офисные здания и помещения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E8E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2 - 4 на 100 м</w:t>
            </w:r>
            <w:r>
              <w:rPr>
                <w:rFonts w:ascii="PT Astra Serif" w:hAnsi="PT Astra Serif" w:cs="PT Astra Serif"/>
                <w:vertAlign w:val="superscript"/>
              </w:rPr>
              <w:t>2</w:t>
            </w:r>
          </w:p>
        </w:tc>
      </w:tr>
      <w:tr w:rsidR="00467797" w14:paraId="08148602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AAA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761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Банки и банковские утверждения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9CBA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2 - 4 на 100 м</w:t>
            </w:r>
            <w:r>
              <w:rPr>
                <w:rFonts w:ascii="PT Astra Serif" w:hAnsi="PT Astra Serif" w:cs="PT Astra Serif"/>
                <w:vertAlign w:val="superscript"/>
              </w:rPr>
              <w:t>2</w:t>
            </w:r>
          </w:p>
        </w:tc>
      </w:tr>
      <w:tr w:rsidR="00467797" w14:paraId="0A0486DC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A69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9FC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науки и учебно-образовательного назначения</w:t>
            </w:r>
          </w:p>
        </w:tc>
      </w:tr>
      <w:tr w:rsidR="00467797" w14:paraId="600ABB91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4DE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A38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Высшие учебные заведения, профессиональные образовательные организации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C2B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60 на 100 студентов</w:t>
            </w:r>
          </w:p>
        </w:tc>
      </w:tr>
      <w:tr w:rsidR="00467797" w14:paraId="0D1DA38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D8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3B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Школы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CB9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50 на 100 школьников</w:t>
            </w:r>
          </w:p>
        </w:tc>
      </w:tr>
      <w:tr w:rsidR="00467797" w14:paraId="376FFFA0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69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369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торгово-бытового и коммунального назначения</w:t>
            </w:r>
          </w:p>
        </w:tc>
      </w:tr>
      <w:tr w:rsidR="00467797" w14:paraId="0097ED4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67C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2DA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Специализированные объекты торгового назначения с широким ассортиментом товаров </w:t>
            </w:r>
            <w:r>
              <w:rPr>
                <w:rFonts w:ascii="PT Astra Serif" w:hAnsi="PT Astra Serif" w:cs="PT Astra Serif"/>
              </w:rPr>
              <w:lastRenderedPageBreak/>
              <w:t>продовольственной и непродовольственной групп (отдельно стоящие супермаркеты)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580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5 - 7 на 100 м</w:t>
            </w:r>
            <w:r>
              <w:rPr>
                <w:rFonts w:ascii="PT Astra Serif" w:hAnsi="PT Astra Serif" w:cs="PT Astra Serif"/>
                <w:vertAlign w:val="superscript"/>
              </w:rPr>
              <w:t>2</w:t>
            </w:r>
          </w:p>
        </w:tc>
      </w:tr>
      <w:tr w:rsidR="00467797" w14:paraId="7BBFD57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077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9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6DAA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Торговые центры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027A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6 - 8 на 100 м</w:t>
            </w:r>
            <w:r>
              <w:rPr>
                <w:rFonts w:ascii="PT Astra Serif" w:hAnsi="PT Astra Serif" w:cs="PT Astra Serif"/>
                <w:vertAlign w:val="superscript"/>
              </w:rPr>
              <w:t>2</w:t>
            </w:r>
          </w:p>
        </w:tc>
      </w:tr>
      <w:tr w:rsidR="00467797" w14:paraId="61328E39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0E1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10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DDD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культуры и искусства</w:t>
            </w:r>
          </w:p>
        </w:tc>
      </w:tr>
      <w:tr w:rsidR="00467797" w14:paraId="0B16C84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153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07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Театры, концертные залы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E20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20 - 25 на 100 посетителей</w:t>
            </w:r>
          </w:p>
        </w:tc>
      </w:tr>
      <w:tr w:rsidR="00467797" w14:paraId="7E858DB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824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237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Кинотеатры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F96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25 на 100 единовременных посетителей</w:t>
            </w:r>
          </w:p>
        </w:tc>
      </w:tr>
      <w:tr w:rsidR="00467797" w14:paraId="0C801F39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58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13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040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Развлекательные центры, дискотеки, ночные клубы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439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25 на 100 единовременных посетителей</w:t>
            </w:r>
          </w:p>
        </w:tc>
      </w:tr>
      <w:tr w:rsidR="00467797" w14:paraId="22E67247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903F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14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7FC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Аттракционы/тематические парки развлечений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D1C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10 - 15 на 100 единовременных посетителей</w:t>
            </w:r>
          </w:p>
        </w:tc>
      </w:tr>
      <w:tr w:rsidR="00467797" w14:paraId="6C6BECA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C83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15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99B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Места отдыха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B4F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20 - 35 на 100 единовременных посетителей</w:t>
            </w:r>
          </w:p>
        </w:tc>
      </w:tr>
      <w:tr w:rsidR="00467797" w14:paraId="71586BB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8DB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16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68A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здравоохранения</w:t>
            </w:r>
          </w:p>
        </w:tc>
      </w:tr>
      <w:tr w:rsidR="00467797" w14:paraId="457E5077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1DC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17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5FB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Поликлиники, в том числе амбулатории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E19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25 на 100 единовременных посетителей</w:t>
            </w:r>
          </w:p>
        </w:tc>
      </w:tr>
      <w:tr w:rsidR="00467797" w14:paraId="24F5304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C87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18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370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Больницы, профилактории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905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30 на 100 коек</w:t>
            </w:r>
          </w:p>
        </w:tc>
      </w:tr>
      <w:tr w:rsidR="00467797" w14:paraId="3515B724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384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19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BBF9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Специализированные клиники, реабилитационные центры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246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20 на 100 коек</w:t>
            </w:r>
          </w:p>
        </w:tc>
      </w:tr>
      <w:tr w:rsidR="00467797" w14:paraId="3DFC0C5B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BD5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781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социального обслуживания населения</w:t>
            </w:r>
          </w:p>
        </w:tc>
      </w:tr>
      <w:tr w:rsidR="00467797" w14:paraId="43CCA74D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DE85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21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5788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Интернаты и пансионаты для престарелых и инвалидов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AD43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10 на 100 коек</w:t>
            </w:r>
          </w:p>
        </w:tc>
      </w:tr>
      <w:tr w:rsidR="00467797" w14:paraId="6ED7624A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052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22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3EA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Объекты физической культуры и спорта</w:t>
            </w:r>
          </w:p>
        </w:tc>
      </w:tr>
      <w:tr w:rsidR="00467797" w14:paraId="5D821086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9B8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23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8FFD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Спортивные комплексы и стадионы с трибунами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9482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20 на 100 единовременных посетителей</w:t>
            </w:r>
          </w:p>
        </w:tc>
      </w:tr>
      <w:tr w:rsidR="00467797" w14:paraId="1EA0B483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C197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24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A0B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Спортивные площадки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49D1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20 на поле</w:t>
            </w:r>
          </w:p>
        </w:tc>
      </w:tr>
      <w:tr w:rsidR="00467797" w14:paraId="6E8D8B29" w14:textId="7777777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A69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25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B94C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Оздоровительные комплексы (фитнес-клубы, ФОКи, спортивные и тренажерные залы, бассейны)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7990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35 на 100 единовременных посетителей</w:t>
            </w:r>
          </w:p>
        </w:tc>
      </w:tr>
      <w:tr w:rsidR="00467797" w14:paraId="2A1AEBAD" w14:textId="77777777">
        <w:tc>
          <w:tcPr>
            <w:tcW w:w="9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9BDB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Примечание. Велопарковки, велостоянки устраиваются возле учебных заведений, кинотеатров, магазинов площадью более 100 м</w:t>
            </w:r>
            <w:r>
              <w:rPr>
                <w:rFonts w:ascii="PT Astra Serif" w:hAnsi="PT Astra Serif" w:cs="PT Astra Serif"/>
                <w:vertAlign w:val="superscript"/>
              </w:rPr>
              <w:t>2</w:t>
            </w:r>
            <w:r>
              <w:rPr>
                <w:rFonts w:ascii="PT Astra Serif" w:hAnsi="PT Astra Serif" w:cs="PT Astra Serif"/>
              </w:rPr>
              <w:t>, торговых центров, обзорных площадок, музеев, пересадочных узлов, иных объектов.</w:t>
            </w:r>
          </w:p>
          <w:p w14:paraId="4907F30E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Уличные велостоянки рекомендуется размещать на расстоянии не более 30 м от входа в учреждения, в хорошо освещенных местах с высокой интенсивностью пешеходного движения, в зоне обзора камер видеонаблюдения.</w:t>
            </w:r>
          </w:p>
          <w:p w14:paraId="51043966" w14:textId="77777777" w:rsidR="00467797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При проектировании нового жилого дома рекомендуется предусматривать наличие мест постоянного хранения в количестве не менее 0,8 места на каждую квартиру. В существующих жилых зданиях количество мест определяется текущим спросом. Рекомендуется размещение велосипедов на место постоянного хранения в подвальных помещениях, специально отведенных помещениях в подъездах домов, велосипедных гаражах</w:t>
            </w:r>
          </w:p>
        </w:tc>
      </w:tr>
    </w:tbl>
    <w:p w14:paraId="65D01BB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BC453C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5D0109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A19CD13" w14:textId="77777777" w:rsidR="00467797" w:rsidRDefault="00000000">
      <w:pPr>
        <w:pStyle w:val="ConsPlusTitle"/>
        <w:jc w:val="center"/>
        <w:outlineLvl w:val="1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Раздел II. МАТЕРИАЛЫ ПО ОБОСНОВАНИЮ РАСЧЕТНЫХ ПОКАЗАТЕЛЕЙ,</w:t>
      </w:r>
    </w:p>
    <w:p w14:paraId="1ADCFF50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СОДЕРЖАЩИХСЯ В ОСНОВНОЙ ЧАСТИ НОРМАТИВОВ ГРАДОСТРОИТЕЛЬНОГО</w:t>
      </w:r>
    </w:p>
    <w:p w14:paraId="2B3B5663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ПРОЕКТИРОВАНИЯ</w:t>
      </w:r>
    </w:p>
    <w:p w14:paraId="1E6DE1E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87FBE11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5. Административно-территориальное устройство</w:t>
      </w:r>
    </w:p>
    <w:p w14:paraId="57AB950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C800088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Увинский муниципальный район образован 16 июля 1929 года, расположен в северо-западной части республики и на западе граничит с </w:t>
      </w:r>
      <w:hyperlink r:id="rId25" w:tooltip="Кировская область" w:history="1">
        <w:r>
          <w:rPr>
            <w:rFonts w:ascii="PT Astra Serif" w:hAnsi="PT Astra Serif" w:cs="PT Astra Serif"/>
          </w:rPr>
          <w:t>Кировской областью</w:t>
        </w:r>
      </w:hyperlink>
      <w:r>
        <w:rPr>
          <w:rFonts w:ascii="PT Astra Serif" w:hAnsi="PT Astra Serif" w:cs="PT Astra Serif"/>
        </w:rPr>
        <w:t>, на севере — с </w:t>
      </w:r>
      <w:hyperlink r:id="rId26" w:tooltip="Юкаменский район" w:history="1">
        <w:r>
          <w:rPr>
            <w:rFonts w:ascii="PT Astra Serif" w:hAnsi="PT Astra Serif" w:cs="PT Astra Serif"/>
          </w:rPr>
          <w:t>Юкаменским</w:t>
        </w:r>
      </w:hyperlink>
      <w:r>
        <w:rPr>
          <w:rFonts w:ascii="PT Astra Serif" w:hAnsi="PT Astra Serif" w:cs="PT Astra Serif"/>
        </w:rPr>
        <w:t>, </w:t>
      </w:r>
      <w:hyperlink r:id="rId27" w:tooltip="Глазовский район" w:history="1">
        <w:r>
          <w:rPr>
            <w:rFonts w:ascii="PT Astra Serif" w:hAnsi="PT Astra Serif" w:cs="PT Astra Serif"/>
          </w:rPr>
          <w:t>Глазовским</w:t>
        </w:r>
      </w:hyperlink>
      <w:r>
        <w:rPr>
          <w:rFonts w:ascii="PT Astra Serif" w:hAnsi="PT Astra Serif" w:cs="PT Astra Serif"/>
        </w:rPr>
        <w:t> и </w:t>
      </w:r>
      <w:hyperlink r:id="rId28" w:tooltip="Балезинский район" w:history="1">
        <w:r>
          <w:rPr>
            <w:rFonts w:ascii="PT Astra Serif" w:hAnsi="PT Astra Serif" w:cs="PT Astra Serif"/>
          </w:rPr>
          <w:t>Балезинским</w:t>
        </w:r>
      </w:hyperlink>
      <w:r>
        <w:rPr>
          <w:rFonts w:ascii="PT Astra Serif" w:hAnsi="PT Astra Serif" w:cs="PT Astra Serif"/>
        </w:rPr>
        <w:t> районами республики, на юго-востоке и юге — соответственно с </w:t>
      </w:r>
      <w:hyperlink r:id="rId29" w:tooltip="Игринский район" w:history="1">
        <w:r>
          <w:rPr>
            <w:rFonts w:ascii="PT Astra Serif" w:hAnsi="PT Astra Serif" w:cs="PT Astra Serif"/>
          </w:rPr>
          <w:t>Игринским</w:t>
        </w:r>
      </w:hyperlink>
      <w:r>
        <w:rPr>
          <w:rFonts w:ascii="PT Astra Serif" w:hAnsi="PT Astra Serif" w:cs="PT Astra Serif"/>
        </w:rPr>
        <w:t> и </w:t>
      </w:r>
      <w:hyperlink r:id="rId30" w:tooltip="Селтинский район" w:history="1">
        <w:r>
          <w:rPr>
            <w:rFonts w:ascii="PT Astra Serif" w:hAnsi="PT Astra Serif" w:cs="PT Astra Serif"/>
          </w:rPr>
          <w:t>Селтинским</w:t>
        </w:r>
      </w:hyperlink>
      <w:r>
        <w:rPr>
          <w:rFonts w:ascii="PT Astra Serif" w:hAnsi="PT Astra Serif" w:cs="PT Astra Serif"/>
        </w:rPr>
        <w:t> районами. Северная часть района расположена на </w:t>
      </w:r>
      <w:hyperlink r:id="rId31" w:tooltip="Красногорская возвышенность" w:history="1">
        <w:r>
          <w:rPr>
            <w:rFonts w:ascii="PT Astra Serif" w:hAnsi="PT Astra Serif" w:cs="PT Astra Serif"/>
          </w:rPr>
          <w:t>Красногорской возвышенности</w:t>
        </w:r>
      </w:hyperlink>
      <w:r>
        <w:rPr>
          <w:rFonts w:ascii="PT Astra Serif" w:hAnsi="PT Astra Serif" w:cs="PT Astra Serif"/>
        </w:rPr>
        <w:t>, а южная — в </w:t>
      </w:r>
      <w:hyperlink r:id="rId32" w:tooltip="Кильмезская низменность" w:history="1">
        <w:r>
          <w:rPr>
            <w:rFonts w:ascii="PT Astra Serif" w:hAnsi="PT Astra Serif" w:cs="PT Astra Serif"/>
          </w:rPr>
          <w:t>Кильмезской низменности</w:t>
        </w:r>
      </w:hyperlink>
      <w:r>
        <w:rPr>
          <w:rFonts w:ascii="PT Astra Serif" w:hAnsi="PT Astra Serif" w:cs="PT Astra Serif"/>
        </w:rPr>
        <w:t>. Площадь территории Красногорского района составляет - 1860,702 км</w:t>
      </w:r>
      <w:r>
        <w:rPr>
          <w:rFonts w:ascii="PT Astra Serif" w:hAnsi="PT Astra Serif" w:cs="PT Astra Serif"/>
          <w:vertAlign w:val="superscript"/>
        </w:rPr>
        <w:t>2</w:t>
      </w:r>
      <w:r>
        <w:rPr>
          <w:rFonts w:ascii="PT Astra Serif" w:hAnsi="PT Astra Serif" w:cs="PT Astra Serif"/>
        </w:rPr>
        <w:t>.</w:t>
      </w:r>
    </w:p>
    <w:p w14:paraId="05A151F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Административный центр муниципального района - село Красногорское. На территории района 10 муниципальных образований, 72 населенных пункта.</w:t>
      </w:r>
    </w:p>
    <w:p w14:paraId="18D1AA8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 Район преимущественно сельскохозяйственный. Имеется 10 сельскохозяйственных предприятий, 7 крестьянских (фермерских) хозяйств, производящих товарные виды продукции. Направление специализации сельскохозяйственных предприятий: мясо-молочное скотоводство..</w:t>
      </w:r>
    </w:p>
    <w:p w14:paraId="3E87A8F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</w:rPr>
        <w:t>Планировочную ткань района составляют, прежде всего, земли лесного фонда, а также земли сельскохозяйственного назначения</w:t>
      </w:r>
      <w:r>
        <w:rPr>
          <w:rFonts w:ascii="PT Astra Serif" w:hAnsi="PT Astra Serif" w:cs="PT Astra Serif"/>
          <w:sz w:val="24"/>
          <w:szCs w:val="24"/>
        </w:rPr>
        <w:t>.</w:t>
      </w:r>
    </w:p>
    <w:p w14:paraId="75695D0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 территории МО «Красногорский район» находятся особоохраняемые природные территории (ООПТ).</w:t>
      </w:r>
    </w:p>
    <w:p w14:paraId="66238F5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 территории района протекает более 30 рек: </w:t>
      </w:r>
      <w:hyperlink r:id="rId33" w:tooltip="Уть (приток Кильмези)" w:history="1">
        <w:r>
          <w:rPr>
            <w:rFonts w:ascii="PT Astra Serif" w:hAnsi="PT Astra Serif" w:cs="PT Astra Serif"/>
          </w:rPr>
          <w:t>Уть</w:t>
        </w:r>
      </w:hyperlink>
      <w:r>
        <w:rPr>
          <w:rFonts w:ascii="PT Astra Serif" w:hAnsi="PT Astra Serif" w:cs="PT Astra Serif"/>
        </w:rPr>
        <w:t>, </w:t>
      </w:r>
      <w:hyperlink r:id="rId34" w:tooltip="Убыть" w:history="1">
        <w:r>
          <w:rPr>
            <w:rFonts w:ascii="PT Astra Serif" w:hAnsi="PT Astra Serif" w:cs="PT Astra Serif"/>
          </w:rPr>
          <w:t>Убыть</w:t>
        </w:r>
      </w:hyperlink>
      <w:r>
        <w:rPr>
          <w:rFonts w:ascii="PT Astra Serif" w:hAnsi="PT Astra Serif" w:cs="PT Astra Serif"/>
        </w:rPr>
        <w:t>, </w:t>
      </w:r>
      <w:hyperlink r:id="rId35" w:tooltip="Сепыч (приток Чепцы)" w:history="1">
        <w:r>
          <w:rPr>
            <w:rFonts w:ascii="PT Astra Serif" w:hAnsi="PT Astra Serif" w:cs="PT Astra Serif"/>
          </w:rPr>
          <w:t>Сепыч</w:t>
        </w:r>
      </w:hyperlink>
      <w:r>
        <w:rPr>
          <w:rFonts w:ascii="PT Astra Serif" w:hAnsi="PT Astra Serif" w:cs="PT Astra Serif"/>
        </w:rPr>
        <w:t>, </w:t>
      </w:r>
      <w:hyperlink r:id="rId36" w:tooltip="Пестарь (река) (страница отсутствует)" w:history="1">
        <w:r>
          <w:rPr>
            <w:rFonts w:ascii="PT Astra Serif" w:hAnsi="PT Astra Serif" w:cs="PT Astra Serif"/>
          </w:rPr>
          <w:t>Пестерь</w:t>
        </w:r>
      </w:hyperlink>
      <w:r>
        <w:rPr>
          <w:rFonts w:ascii="PT Astra Serif" w:hAnsi="PT Astra Serif" w:cs="PT Astra Serif"/>
        </w:rPr>
        <w:t>, </w:t>
      </w:r>
      <w:hyperlink r:id="rId37" w:tooltip="Лекма (приток Чепцы)" w:history="1">
        <w:r>
          <w:rPr>
            <w:rFonts w:ascii="PT Astra Serif" w:hAnsi="PT Astra Serif" w:cs="PT Astra Serif"/>
          </w:rPr>
          <w:t>Лекма</w:t>
        </w:r>
      </w:hyperlink>
      <w:r>
        <w:rPr>
          <w:rFonts w:ascii="PT Astra Serif" w:hAnsi="PT Astra Serif" w:cs="PT Astra Serif"/>
        </w:rPr>
        <w:t>, </w:t>
      </w:r>
      <w:hyperlink r:id="rId38" w:tooltip="Саля (река)" w:history="1">
        <w:r>
          <w:rPr>
            <w:rFonts w:ascii="PT Astra Serif" w:hAnsi="PT Astra Serif" w:cs="PT Astra Serif"/>
          </w:rPr>
          <w:t>Саля</w:t>
        </w:r>
      </w:hyperlink>
      <w:r>
        <w:rPr>
          <w:rFonts w:ascii="PT Astra Serif" w:hAnsi="PT Astra Serif" w:cs="PT Astra Serif"/>
        </w:rPr>
        <w:t> и другие, а также </w:t>
      </w:r>
      <w:hyperlink r:id="rId39" w:tooltip="Кильмезь (река)" w:history="1">
        <w:r>
          <w:rPr>
            <w:rFonts w:ascii="PT Astra Serif" w:hAnsi="PT Astra Serif" w:cs="PT Astra Serif"/>
          </w:rPr>
          <w:t>Кильмезь</w:t>
        </w:r>
      </w:hyperlink>
      <w:r>
        <w:rPr>
          <w:rFonts w:ascii="PT Astra Serif" w:hAnsi="PT Astra Serif" w:cs="PT Astra Serif"/>
        </w:rPr>
        <w:t>, крупный левый приток </w:t>
      </w:r>
      <w:hyperlink r:id="rId40" w:tooltip="Вятка (река)" w:history="1">
        <w:r>
          <w:rPr>
            <w:rFonts w:ascii="PT Astra Serif" w:hAnsi="PT Astra Serif" w:cs="PT Astra Serif"/>
          </w:rPr>
          <w:t>Вятки</w:t>
        </w:r>
      </w:hyperlink>
      <w:r>
        <w:rPr>
          <w:rFonts w:ascii="PT Astra Serif" w:hAnsi="PT Astra Serif" w:cs="PT Astra Serif"/>
        </w:rPr>
        <w:t xml:space="preserve">. </w:t>
      </w:r>
    </w:p>
    <w:p w14:paraId="7D3EF1B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 территории района имеется множество памятников археологии, архитектуры, истории и культуры, которые находятся как в населенных пунктах, так и в долинах рек вне сел и деревень. Большую часть памятников составляют памятники археологии: селища, могильники, поселения. Некоторая часть памятников архитектуры,</w:t>
      </w:r>
      <w:r>
        <w:rPr>
          <w:rFonts w:ascii="PT Astra Serif" w:hAnsi="PT Astra Serif" w:cs="PT Astra Serif"/>
          <w:color w:val="000000"/>
        </w:rPr>
        <w:t xml:space="preserve"> которые были выявлены на территории района, к настоящему моменту утрачена.</w:t>
      </w:r>
    </w:p>
    <w:p w14:paraId="72CBF60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Для подготовки расчетных показателей сельского населения пунктов в зависимости от проектной численности населения на расчетный срок подразделяется на группы в соответствии с таблицей 5.1.</w:t>
      </w:r>
    </w:p>
    <w:p w14:paraId="15A9A6B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86E4574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5.1</w:t>
      </w:r>
    </w:p>
    <w:p w14:paraId="296B2DBC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467797" w14:paraId="50FC2FF3" w14:textId="77777777">
        <w:tc>
          <w:tcPr>
            <w:tcW w:w="4535" w:type="dxa"/>
          </w:tcPr>
          <w:p w14:paraId="0FC660C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Группы</w:t>
            </w:r>
          </w:p>
        </w:tc>
        <w:tc>
          <w:tcPr>
            <w:tcW w:w="4535" w:type="dxa"/>
          </w:tcPr>
          <w:p w14:paraId="487BD08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Население (тыс. чел.)</w:t>
            </w:r>
          </w:p>
        </w:tc>
      </w:tr>
      <w:tr w:rsidR="00467797" w14:paraId="6B737C6C" w14:textId="77777777">
        <w:tc>
          <w:tcPr>
            <w:tcW w:w="4535" w:type="dxa"/>
          </w:tcPr>
          <w:p w14:paraId="75C853BE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Крупный</w:t>
            </w:r>
          </w:p>
        </w:tc>
        <w:tc>
          <w:tcPr>
            <w:tcW w:w="4535" w:type="dxa"/>
          </w:tcPr>
          <w:p w14:paraId="21419164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3</w:t>
            </w:r>
          </w:p>
        </w:tc>
      </w:tr>
      <w:tr w:rsidR="00467797" w14:paraId="25853131" w14:textId="77777777">
        <w:tc>
          <w:tcPr>
            <w:tcW w:w="4535" w:type="dxa"/>
          </w:tcPr>
          <w:p w14:paraId="487925EF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Большие</w:t>
            </w:r>
          </w:p>
        </w:tc>
        <w:tc>
          <w:tcPr>
            <w:tcW w:w="4535" w:type="dxa"/>
          </w:tcPr>
          <w:p w14:paraId="6AB10E7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1 до 3</w:t>
            </w:r>
          </w:p>
        </w:tc>
      </w:tr>
      <w:tr w:rsidR="00467797" w14:paraId="28B9398C" w14:textId="77777777">
        <w:tc>
          <w:tcPr>
            <w:tcW w:w="4535" w:type="dxa"/>
          </w:tcPr>
          <w:p w14:paraId="01BCFA99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Средние</w:t>
            </w:r>
          </w:p>
        </w:tc>
        <w:tc>
          <w:tcPr>
            <w:tcW w:w="4535" w:type="dxa"/>
          </w:tcPr>
          <w:p w14:paraId="49E6723C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Свыше 0,2 до 1</w:t>
            </w:r>
          </w:p>
        </w:tc>
      </w:tr>
      <w:tr w:rsidR="00467797" w14:paraId="74AB0251" w14:textId="77777777">
        <w:tc>
          <w:tcPr>
            <w:tcW w:w="4535" w:type="dxa"/>
          </w:tcPr>
          <w:p w14:paraId="64E180DB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Малые</w:t>
            </w:r>
          </w:p>
        </w:tc>
        <w:tc>
          <w:tcPr>
            <w:tcW w:w="4535" w:type="dxa"/>
          </w:tcPr>
          <w:p w14:paraId="3A1938F6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 0,2</w:t>
            </w:r>
          </w:p>
        </w:tc>
      </w:tr>
    </w:tbl>
    <w:p w14:paraId="5F84CC2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4997972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 подготовке документов территориального планирования Красногорского района для </w:t>
      </w:r>
      <w:r>
        <w:rPr>
          <w:rFonts w:ascii="PT Astra Serif" w:hAnsi="PT Astra Serif" w:cs="PT Astra Serif"/>
        </w:rPr>
        <w:lastRenderedPageBreak/>
        <w:t>применения дифференцированных показателей (норм) градостроительного проектирования следует учитывать:</w:t>
      </w:r>
    </w:p>
    <w:p w14:paraId="0ED4CC8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имеющиеся ресурсы (транспортные, рекреационные, трудовые, природные, территориальные), их рациональное использование, состояние окружающей среды;</w:t>
      </w:r>
    </w:p>
    <w:p w14:paraId="14B62C4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развитие социально-демографических ситуаций и экономической базы муниципальных образований;</w:t>
      </w:r>
    </w:p>
    <w:p w14:paraId="2BCDA19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роль муниципального района, сельских поселений в системе расселения, значение в системе формируемых центров обслуживания (межрайонного, районного и местного уровня), их историко-культурное значение, туристическо-рекреационный потенциал, прогнозируемую численность населения и другие местные особенности;</w:t>
      </w:r>
    </w:p>
    <w:p w14:paraId="0ABC289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оценку природно-климатических условий и данных об инженерно-геологических условиях территории.</w:t>
      </w:r>
    </w:p>
    <w:p w14:paraId="6F6E1ECA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EA027D6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6. Социально-демографический состав и плотность населения</w:t>
      </w:r>
    </w:p>
    <w:p w14:paraId="112531B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5AF0B50F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Демографический потенциал Красногорского района Удмуртской Республики во многом определяет перспективы их развития, экономическое и социальное благополучие и стабильность. Состояние демографической ситуации на территории Красногорского района в целом отражает сложившиеся тенденции демографического развития в других муниципальных образованиях Удмуртской Республики и регионов Российской Федерации - это, прежде всего, постепенное сокращение численности, связанное с отрицательным естественным приростом населения (низкая рождаемость и заметно превышающая ее смертность), не перекрываемым миграционными притоком.</w:t>
      </w:r>
    </w:p>
    <w:p w14:paraId="5F5EE52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Демографическая ситуация складывается из естественного и миграционного прироста (убыли) населения. Оценка текущей демографической ситуации и исторически сложившихся тенденций является фундаментом для сценариев развития сельского поселения в том, что касается прогноза численности населения и человеческого потенциала.</w:t>
      </w:r>
    </w:p>
    <w:p w14:paraId="5689E7C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Динамика численности населения по годам приведена в таблице 6.1.</w:t>
      </w:r>
    </w:p>
    <w:p w14:paraId="038E8D2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EC8BC73" w14:textId="77777777" w:rsidR="00467797" w:rsidRDefault="00000000">
      <w:pPr>
        <w:pStyle w:val="ConsPlusNormal"/>
        <w:jc w:val="right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Таблица 6.1</w:t>
      </w:r>
    </w:p>
    <w:p w14:paraId="45F2479E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7"/>
        <w:gridCol w:w="964"/>
        <w:gridCol w:w="964"/>
        <w:gridCol w:w="964"/>
        <w:gridCol w:w="964"/>
        <w:gridCol w:w="964"/>
      </w:tblGrid>
      <w:tr w:rsidR="00467797" w14:paraId="74F5DD79" w14:textId="77777777">
        <w:tc>
          <w:tcPr>
            <w:tcW w:w="4227" w:type="dxa"/>
            <w:vMerge w:val="restart"/>
          </w:tcPr>
          <w:p w14:paraId="7AB248F1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Наименование показателей</w:t>
            </w:r>
          </w:p>
        </w:tc>
        <w:tc>
          <w:tcPr>
            <w:tcW w:w="4820" w:type="dxa"/>
            <w:gridSpan w:val="5"/>
          </w:tcPr>
          <w:p w14:paraId="24A54FDF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Число населения по года (на 1 января), чел.</w:t>
            </w:r>
          </w:p>
        </w:tc>
      </w:tr>
      <w:tr w:rsidR="00467797" w14:paraId="0BD8892C" w14:textId="77777777">
        <w:tc>
          <w:tcPr>
            <w:tcW w:w="4227" w:type="dxa"/>
            <w:vMerge/>
          </w:tcPr>
          <w:p w14:paraId="173E6565" w14:textId="77777777" w:rsidR="00467797" w:rsidRDefault="00467797">
            <w:pPr>
              <w:pStyle w:val="ConsPlusNormal"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964" w:type="dxa"/>
          </w:tcPr>
          <w:p w14:paraId="4FC47FAC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2019</w:t>
            </w:r>
          </w:p>
        </w:tc>
        <w:tc>
          <w:tcPr>
            <w:tcW w:w="964" w:type="dxa"/>
          </w:tcPr>
          <w:p w14:paraId="4062DB3A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2020</w:t>
            </w:r>
          </w:p>
        </w:tc>
        <w:tc>
          <w:tcPr>
            <w:tcW w:w="964" w:type="dxa"/>
          </w:tcPr>
          <w:p w14:paraId="2B810F9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2021</w:t>
            </w:r>
          </w:p>
        </w:tc>
        <w:tc>
          <w:tcPr>
            <w:tcW w:w="964" w:type="dxa"/>
          </w:tcPr>
          <w:p w14:paraId="113F232B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2022</w:t>
            </w:r>
          </w:p>
        </w:tc>
        <w:tc>
          <w:tcPr>
            <w:tcW w:w="964" w:type="dxa"/>
          </w:tcPr>
          <w:p w14:paraId="3E34D4E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</w:rPr>
              <w:t>2023</w:t>
            </w:r>
          </w:p>
        </w:tc>
      </w:tr>
      <w:tr w:rsidR="00467797" w14:paraId="0FD91B8F" w14:textId="77777777">
        <w:tc>
          <w:tcPr>
            <w:tcW w:w="4227" w:type="dxa"/>
          </w:tcPr>
          <w:p w14:paraId="0D131C01" w14:textId="77777777" w:rsidR="00467797" w:rsidRDefault="00000000">
            <w:pPr>
              <w:pStyle w:val="ConsPlusNormal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Численность населения Красногорского района</w:t>
            </w:r>
          </w:p>
        </w:tc>
        <w:tc>
          <w:tcPr>
            <w:tcW w:w="964" w:type="dxa"/>
          </w:tcPr>
          <w:p w14:paraId="3125FCA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8711</w:t>
            </w:r>
          </w:p>
        </w:tc>
        <w:tc>
          <w:tcPr>
            <w:tcW w:w="964" w:type="dxa"/>
          </w:tcPr>
          <w:p w14:paraId="19594AB0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8576</w:t>
            </w:r>
          </w:p>
        </w:tc>
        <w:tc>
          <w:tcPr>
            <w:tcW w:w="964" w:type="dxa"/>
          </w:tcPr>
          <w:p w14:paraId="1192FD22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7841</w:t>
            </w:r>
          </w:p>
        </w:tc>
        <w:tc>
          <w:tcPr>
            <w:tcW w:w="964" w:type="dxa"/>
          </w:tcPr>
          <w:p w14:paraId="4F05C7DC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</w:rPr>
              <w:t>8129</w:t>
            </w:r>
          </w:p>
        </w:tc>
        <w:tc>
          <w:tcPr>
            <w:tcW w:w="964" w:type="dxa"/>
          </w:tcPr>
          <w:p w14:paraId="2BD119D7" w14:textId="77777777" w:rsidR="00467797" w:rsidRDefault="00000000">
            <w:pPr>
              <w:pStyle w:val="ConsPlusNormal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cs="PT Astra Serif"/>
              </w:rPr>
              <w:t>7584</w:t>
            </w:r>
          </w:p>
        </w:tc>
      </w:tr>
    </w:tbl>
    <w:p w14:paraId="1702F73F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7D3EB8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47FE6F82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Демографическая ситуация в Красногорском районе на последующие периоды характеризуется продолжающимся процессом убыли населения.</w:t>
      </w:r>
    </w:p>
    <w:p w14:paraId="0708982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 момент корректировки документов территориального планирования или подготовки документации по планировке территории при фактической численности населения отличной от проектной, расчет осуществляется по фактически достигнутой численности населения.</w:t>
      </w:r>
    </w:p>
    <w:p w14:paraId="6FC3014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7145E67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7. Природно-климатические условия</w:t>
      </w:r>
    </w:p>
    <w:p w14:paraId="53766105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F74E137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Разработка нормативов градостроительного проектирования муниципального образования </w:t>
      </w:r>
      <w:r>
        <w:rPr>
          <w:rFonts w:ascii="PT Astra Serif" w:hAnsi="PT Astra Serif" w:cs="PT Astra Serif"/>
        </w:rPr>
        <w:lastRenderedPageBreak/>
        <w:t>"Муниципальный округ Красногорский район Удмуртской Республики" осуществлялась с учетом природно-климатических характеристик муниципального района по следующим направлениям:</w:t>
      </w:r>
    </w:p>
    <w:p w14:paraId="41F10A7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климатические особенности;</w:t>
      </w:r>
    </w:p>
    <w:p w14:paraId="572B717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опасные природные явления.</w:t>
      </w:r>
    </w:p>
    <w:p w14:paraId="38ABB958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EF22EC6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Климатические особенности</w:t>
      </w:r>
    </w:p>
    <w:p w14:paraId="1BF9388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 течение года средняя температура воздуха Красногорского района составляет +3 град. C. Самым холодным месяцем является январь с средней температурой -14,1 град. C, а самым теплым - август, когда столбик термометра в среднем поднимается до 16,8 град. C.</w:t>
      </w:r>
    </w:p>
    <w:p w14:paraId="42FB2BC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Последние весенние заморозки наблюдаются до 19 мая. Первые осенние заморозки наступают 21 сентября.</w:t>
      </w:r>
    </w:p>
    <w:p w14:paraId="38CC224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Продолжительность безморозного периода в среднем 115 дней с колебаниями от 97 до 125 дней.</w:t>
      </w:r>
    </w:p>
    <w:p w14:paraId="0A4AD5B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Устойчивый снежный покров образуется в первой декаде ноября, сохраняется 160 - 165 дней и сходит во второй - третьей декаде апреля.</w:t>
      </w:r>
    </w:p>
    <w:p w14:paraId="73F630A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Глубина промерзания почвы 168 - 170 см.</w:t>
      </w:r>
    </w:p>
    <w:p w14:paraId="46B5B96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Среднегодовое атмосферное давление составляет 747 мм. рт. ст., а влажность воздуха 78%.</w:t>
      </w:r>
    </w:p>
    <w:p w14:paraId="4496A7E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Летние месяцы отличаются большой неустойчивостью увлажнения, отклонения от нормы осадков летом возможны через каждые 3 - 4 года. Кроме того, большое количество осадков может быть вызвано небольшим числом ливней, в то время как весь месяц может оставаться сухим. Ливни, во время которых выпадает 30 мм осадков, бывают почти ежегодно.</w:t>
      </w:r>
    </w:p>
    <w:p w14:paraId="62B4B3B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 среднем за год преобладающими направлениями ветра на территории Красногорского района являются западное. Средний показатель скорости ветра в течение года составляет 2.6 м/с. Самым спокойным месяцем является сентябрь, а самым ветренным февраль..</w:t>
      </w:r>
    </w:p>
    <w:p w14:paraId="496063E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Самый пасмурный месяц в Красногорском декабрь, пасмурное состояние неба повторяется в 94% случаев. Повторяемость сплошной облачности в течение года составляет 62%, а среднегодовое количество общей облачности 6.7 балла.</w:t>
      </w:r>
    </w:p>
    <w:p w14:paraId="11E573A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A91B1BE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Опасные природные явления.</w:t>
      </w:r>
    </w:p>
    <w:p w14:paraId="325CA01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Опасных природных процессов (оползни, сели, карст, ураганы, смерчи), требующих защитных мер на территории Красногорпского района, не наблюдается. Уровень природного риска на территории градостроительного освоения невысок.</w:t>
      </w:r>
    </w:p>
    <w:p w14:paraId="2676529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Наиболее опасными природными явлениями, при которых на отдельных территориях и в целом по Красногорскому району может возникать чрезвычайная обстановка, являются:</w:t>
      </w:r>
    </w:p>
    <w:p w14:paraId="244A7811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природные пожары (лесные и торфяные);</w:t>
      </w:r>
    </w:p>
    <w:p w14:paraId="57ECF38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метеорологические явления (шквал, сильный ветер, продолжительный дождь (ливень), град, туман, сильный снегопад, заморозки, почвенная и атмосферная засуха).</w:t>
      </w:r>
    </w:p>
    <w:p w14:paraId="3847433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Опасные природные процессы на территории Красногорского района не представляют непосредственной опасности для жизни людей, но являются внешним воздействующим фактором и могут нанести колоссальный ущерб зданиям, сооружениям, установленному в них оборудованию, транспорту и коммуникациям.</w:t>
      </w:r>
    </w:p>
    <w:p w14:paraId="20EB0953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73D1754A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8. Анализ планов социально-экономического развития</w:t>
      </w:r>
    </w:p>
    <w:p w14:paraId="458D844E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Красногорского района Удмуртской Республики в целях выявления</w:t>
      </w:r>
    </w:p>
    <w:p w14:paraId="611977E1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показателей, которые необходимо учитывать в нормативах</w:t>
      </w:r>
    </w:p>
    <w:p w14:paraId="2918E0E2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градостроительного проектирования</w:t>
      </w:r>
    </w:p>
    <w:p w14:paraId="3A781864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C4C8973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градостроительного проектирования муниципального образования.</w:t>
      </w:r>
    </w:p>
    <w:p w14:paraId="0F41C17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"Муниципальный округ Красногорский район Удмуртской Республики" разработаны для подготовки, согласования, утверждения и реализации документов территориального планирования и документации по планировке территории с учетом перспективы развития муниципальных образований в составе района.</w:t>
      </w:r>
    </w:p>
    <w:p w14:paraId="68A6DC8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направлены на устойчивое развитие территорий путем обеспечения при осуществлении градостроительной деятельности безопасности и благоприятных условий жизнедеятельности населения. Ограничения негативного воздействия хозяйственной и иной деятельности на окружающую среду и обеспечения охраны и рационального использования природных ресурсов в интересах настоящего и будущего поколений, а также инженерной защиты населения и территорий от опасных природных и техногенных процессов.</w:t>
      </w:r>
    </w:p>
    <w:p w14:paraId="6466DDA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обеспечивают социальную стабильность, соблюдение социальных прав и гарантий населения Красногорского района Удмуртской Республики за счет использования социальных мер защиты населения.</w:t>
      </w:r>
    </w:p>
    <w:p w14:paraId="5952AC8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Нормативы структурированы в соответствии с полномочиями органов местного самоуправления муниципального района в соответствии с требованиями Федерального </w:t>
      </w:r>
      <w:hyperlink r:id="rId41">
        <w:r>
          <w:rPr>
            <w:rFonts w:ascii="PT Astra Serif" w:hAnsi="PT Astra Serif" w:cs="PT Astra Serif"/>
            <w:color w:val="0000FF"/>
          </w:rPr>
          <w:t>закона</w:t>
        </w:r>
      </w:hyperlink>
      <w:r>
        <w:rPr>
          <w:rFonts w:ascii="PT Astra Serif" w:hAnsi="PT Astra Serif" w:cs="PT Astra Serif"/>
        </w:rPr>
        <w:t xml:space="preserve"> N 131-ФЗ от 6 октября 2003 года "Об общих принципах организации местного самоуправления в Российской Федерации" и </w:t>
      </w:r>
      <w:hyperlink r:id="rId42">
        <w:r>
          <w:rPr>
            <w:rFonts w:ascii="PT Astra Serif" w:hAnsi="PT Astra Serif" w:cs="PT Astra Serif"/>
            <w:color w:val="0000FF"/>
          </w:rPr>
          <w:t>Устава</w:t>
        </w:r>
      </w:hyperlink>
      <w:r>
        <w:rPr>
          <w:rFonts w:ascii="PT Astra Serif" w:hAnsi="PT Astra Serif" w:cs="PT Astra Serif"/>
        </w:rPr>
        <w:t xml:space="preserve"> муниципального образования "Муниципальный округ Красногорский район Удмуртской Республики".</w:t>
      </w:r>
    </w:p>
    <w:p w14:paraId="53B2AFB5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Приоритетной задачей района является обеспечение устойчивого и надежного функционирования инженерных систем и связи территории района, в том числе входящих в его состав поселений.</w:t>
      </w:r>
    </w:p>
    <w:p w14:paraId="090B90B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 соответствии со стратегическими направлениями в нормативах разработаны разделы "Объекты инженерной инфраструктуры", где приведены все необходимые расчетные показатели для обеспечения подготовки документов территориального планирования (схемы территориального планирования) муниципального района и документации по планировке территории.</w:t>
      </w:r>
    </w:p>
    <w:p w14:paraId="1BBB8DC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Муниципальные автомобильные дороги общего пользования района без надлежащего и своевременного ремонта не выдерживают современных транспортных нагрузок. Кроме того, в районе еще остаются населенные пункты, не имеющие подъездов с твердым покрытием, бесхозяйственные дороги, по которым необходимо провести реконструкцию. Остается низким уровень обеспеченности автомобильных дорог автопавильонами и съездами.</w:t>
      </w:r>
    </w:p>
    <w:p w14:paraId="053AE835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Сегодняшняя ситуация в дорожной отрасли характеризуется ростом спроса на автомобильные перевозки, увеличением количества транспортных средств и одновременно с этим отставанием в развитии дорожной сети района, медленным ростом протяженности и пропускной способности автомобильных дорог.</w:t>
      </w:r>
    </w:p>
    <w:p w14:paraId="3FEAF5B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Таким образом, одним из важнейших условий устойчивого развития экономики Красногорского района является сохранение и развитие сети автомобильных дорог местного значения общего пользования, объектов дорожного сервиса и транспортного обслуживания населения района, способствующих эффективности использования производственных и </w:t>
      </w:r>
      <w:r>
        <w:rPr>
          <w:rFonts w:ascii="PT Astra Serif" w:hAnsi="PT Astra Serif" w:cs="PT Astra Serif"/>
        </w:rPr>
        <w:lastRenderedPageBreak/>
        <w:t>сельскохозяйственных мощностей и ресурсов, оптимизации структуры дорожно-транспортного комплекса. В связи с важностью данных задач в местных нормативах разработан раздел "Автомобильные дороги местного значения".</w:t>
      </w:r>
    </w:p>
    <w:p w14:paraId="33E1841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Социальная сфера Красногорского района представлена:</w:t>
      </w:r>
    </w:p>
    <w:p w14:paraId="6D951D9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а) системой образования, которая включает в себя 25 учреждений образования, в том числе:</w:t>
      </w:r>
    </w:p>
    <w:p w14:paraId="0C9C8B9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общеобразовательные учреждения – 11, включающие 12 структурных подразделений детских садов;</w:t>
      </w:r>
    </w:p>
    <w:p w14:paraId="6CA3C4A5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учреждения дополнительного образования - 2;</w:t>
      </w:r>
    </w:p>
    <w:p w14:paraId="61BBCEE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б) системой учреждений здравоохранения:</w:t>
      </w:r>
    </w:p>
    <w:p w14:paraId="7CFD2930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- 1 районная больница с. Красногорское;</w:t>
      </w:r>
    </w:p>
    <w:p w14:paraId="17221C4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- 12 ФАПов</w:t>
      </w:r>
    </w:p>
    <w:p w14:paraId="12A2F9B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в) культура и спорт:</w:t>
      </w:r>
    </w:p>
    <w:p w14:paraId="11522D2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стадион «ФОК» в с. Красногорское;</w:t>
      </w:r>
    </w:p>
    <w:p w14:paraId="189C1FC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лыжная база в с. Красногорское.</w:t>
      </w:r>
    </w:p>
    <w:p w14:paraId="387C7FA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Особое внимание в нормативах уделяется разработке расчетных показателей для проектирования объектов социальной инфраструктуры в составе разделов.</w:t>
      </w:r>
    </w:p>
    <w:p w14:paraId="1B3AA38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"Объекты образования", "Объекты здравоохранения", "Объекты физической культуры и массового спорта", "Объекты культуры и искусства". Кроме перечисленных разделов в нормативах разработан раздел "Объекты общественного питания, торговли и бытового обслуживания". В данном разделе приведены все необходимые расчетные показатели для градостроительного проектирования объектов обслуживания.</w:t>
      </w:r>
    </w:p>
    <w:p w14:paraId="33A14FA9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К полномочиям органов местного самоуправления района относится участие в организации деятельности по сбору, транспортированию, обработке, утилизации, обезвреживанию, захоронению твердых коммунальных отходов на территории района, что способствует сохранению стабильной экологической ситуации в районе.</w:t>
      </w:r>
    </w:p>
    <w:p w14:paraId="4E79CE66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Разработанные нормативы градостроительного проектирования муниципального образования "Муниципальный округ  Красногорский район Удмуртской Республики" будут встроены в систему нормативно-технических документов в сфере регулирования градостроительной деятельности и окажут влияние на реализацию документов муниципального планирования на территории муниципального образования "Муниципальный округ Красногорский район Удмуртской Республики".</w:t>
      </w:r>
    </w:p>
    <w:p w14:paraId="31F00E40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15F7601" w14:textId="77777777" w:rsidR="00467797" w:rsidRDefault="00000000">
      <w:pPr>
        <w:pStyle w:val="ConsPlusTitle"/>
        <w:jc w:val="center"/>
        <w:outlineLvl w:val="1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Раздел III. ПРАВИЛА И ОБЛАСТЬ ПРИМЕНЕНИЯ РАСЧЕТНЫХ</w:t>
      </w:r>
    </w:p>
    <w:p w14:paraId="263EEC84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ПОКАЗАТЕЛЕЙ, СОДЕРЖАЩИХСЯ В ОСНОВНОЙ ЧАСТИ НОРМАТИВОВ</w:t>
      </w:r>
    </w:p>
    <w:p w14:paraId="570449DC" w14:textId="77777777" w:rsidR="00467797" w:rsidRDefault="00000000">
      <w:pPr>
        <w:pStyle w:val="ConsPlusTitle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ГРАДОСТРОИТЕЛЬНОГО ПРОЕКТИРОВАНИЯ</w:t>
      </w:r>
    </w:p>
    <w:p w14:paraId="5A9268D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DCC0958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9. Область применения расчетных показателей</w:t>
      </w:r>
    </w:p>
    <w:p w14:paraId="578F52A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3061C647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В соответствии с Градостроительным </w:t>
      </w:r>
      <w:hyperlink r:id="rId43">
        <w:r>
          <w:rPr>
            <w:rFonts w:ascii="PT Astra Serif" w:hAnsi="PT Astra Serif" w:cs="PT Astra Serif"/>
            <w:color w:val="0000FF"/>
          </w:rPr>
          <w:t>кодексом</w:t>
        </w:r>
      </w:hyperlink>
      <w:r>
        <w:rPr>
          <w:rFonts w:ascii="PT Astra Serif" w:hAnsi="PT Astra Serif" w:cs="PT Astra Serif"/>
        </w:rPr>
        <w:t xml:space="preserve"> Российской Федерации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муниципального района и расчетных показателей максимально допустимого уровня территориальной доступности </w:t>
      </w:r>
      <w:r>
        <w:rPr>
          <w:rFonts w:ascii="PT Astra Serif" w:hAnsi="PT Astra Serif" w:cs="PT Astra Serif"/>
        </w:rPr>
        <w:lastRenderedPageBreak/>
        <w:t>таких объектов для населения Красногорского района Удмуртской Республики в целях обеспечения благоприятных условий жизнедеятельности населения.</w:t>
      </w:r>
    </w:p>
    <w:p w14:paraId="320058D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направлены на обеспечение градостроительными средствами (совокупностью расчетных показателей) безопасности и устойчивости развития Красногорского района Удмуртской Республики и входящих в состав сельских поселений,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населенных пунктов от неблагоприятных воздействий природного и техногенного характера, а также на создание условий для реализации определенных законодательством Российской Федерации социальных гарантий граждан в части обеспечения объектами социального и культурно-бытового обслуживания, инженерной и транспортной инфраструктуры и благоустройства.</w:t>
      </w:r>
    </w:p>
    <w:p w14:paraId="525C77F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Областью применения нормативов градостроительного проектирования являются:</w:t>
      </w:r>
    </w:p>
    <w:p w14:paraId="4073D683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1) при подготовке программ комплексного развития социальной инфраструктуры;</w:t>
      </w:r>
    </w:p>
    <w:p w14:paraId="36F942D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2) при подготовке программ комплексного развития коммунальной инфраструктуры;</w:t>
      </w:r>
    </w:p>
    <w:p w14:paraId="1387325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3) при подготовке программ комплексного развития транспортной инфраструктуры;</w:t>
      </w:r>
    </w:p>
    <w:p w14:paraId="44A2F877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4) при подготовке проектов внесения изменений в схему территориального планирования Красногорского района;</w:t>
      </w:r>
    </w:p>
    <w:p w14:paraId="3B22C44C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5) при подготовке проектов генеральных планов, в том числе при подготовке проектов внесения изменений в генеральные планы поселений Красногорского района;</w:t>
      </w:r>
    </w:p>
    <w:p w14:paraId="3FD173FF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6) при подготовке правил землепользования и застройки, в том числе при подготовке проектов внесения изменений в правила землепользования и застройки поселений Красногорского района;</w:t>
      </w:r>
    </w:p>
    <w:p w14:paraId="615BD60D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7) при подготовке документации по планировке территории;</w:t>
      </w:r>
    </w:p>
    <w:p w14:paraId="1B2F9774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8) при подготовке проектной документации на объекты капитального строительства, являющихся объектами местного значения Красногорского района;</w:t>
      </w:r>
    </w:p>
    <w:p w14:paraId="0BD1F1BE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9) в других случаях, в которых требуется учет и соблюдение расчетных показателей минимально допустимого уровня обеспеченности объектами местного значения Красногорского района и расчетных показателей максимально допустимого уровня территориальной доступности таких объектов для населения Красногорского района.</w:t>
      </w:r>
    </w:p>
    <w:p w14:paraId="1033CD22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входят в систему нормативных документов, регламентирующих градостроительную деятельность на территории муниципального образования "Муниципальный округ Красногорский район Удмуртской Республики".</w:t>
      </w:r>
    </w:p>
    <w:p w14:paraId="2E51534A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Настоящие нормативы устанавливают требования, обязательные для всех субъектов градостроительных отношений, осуществляющих свою деятельность на территории муниципального образования "Муниципальный округ Красногорский район Удмуртской Республики", независимо от их организационно-правовой формы.</w:t>
      </w:r>
    </w:p>
    <w:p w14:paraId="00F511BB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Нормативы конкретизируют и развивают основные положения действующих федеральных норм. По вопросам, не рассматриваемым в нормативах, следует руководствоваться законами и нормативно-техническими документами, действующими на территории Российской Федерации. При отмене и/или изменении действующих нормативных документов, в том числе тех, на которые дается ссылка в настоящих нормах, следует руководствоваться нормами, вводимыми взамен отмененных.</w:t>
      </w:r>
    </w:p>
    <w:p w14:paraId="54B5F039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62CDAAE0" w14:textId="77777777" w:rsidR="00467797" w:rsidRDefault="00000000">
      <w:pPr>
        <w:pStyle w:val="ConsPlusTitle"/>
        <w:jc w:val="center"/>
        <w:outlineLvl w:val="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10. Правила применения расчетных показателей</w:t>
      </w:r>
    </w:p>
    <w:p w14:paraId="07213576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00C9A6E" w14:textId="77777777" w:rsidR="00467797" w:rsidRDefault="00000000">
      <w:pPr>
        <w:pStyle w:val="ConsPlusNormal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Установление совокупности расчетных показателей минимально допустимого уровня обеспеченности объектами местного значения муниципального района, установление максимально допустимого уровня территориальной доступности таких объектов для населения Красногорского района необходимы для определения местоположения планируемых к размещению объектов местного значения в схеме территориального планирования Красногорского района Удмуртской Республики в целях обеспечения благоприятных условий жизнедеятельности населения.</w:t>
      </w:r>
    </w:p>
    <w:p w14:paraId="1E8D2808" w14:textId="77777777" w:rsidR="00467797" w:rsidRDefault="00000000">
      <w:pPr>
        <w:pStyle w:val="ConsPlusNormal"/>
        <w:spacing w:before="220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Определение местоположения планируемого к размещению объекта местного значения следует осуществлять исходя из минимально допустимого уровня обеспеченности объектами, установленного настоящими нормативами, и максимально допустимого уровня территориальной доступности того или иного объекта, установленного настоящими нормативами в целях градостроительного проектирования.</w:t>
      </w:r>
    </w:p>
    <w:p w14:paraId="28458BFB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0F17E431" w14:textId="77777777" w:rsidR="00467797" w:rsidRDefault="00467797">
      <w:pPr>
        <w:pStyle w:val="ConsPlusNormal"/>
        <w:jc w:val="both"/>
        <w:rPr>
          <w:rFonts w:ascii="PT Astra Serif" w:hAnsi="PT Astra Serif" w:cs="PT Astra Serif"/>
        </w:rPr>
      </w:pPr>
    </w:p>
    <w:p w14:paraId="2299F4A2" w14:textId="77777777" w:rsidR="00467797" w:rsidRDefault="0046779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 w:cs="PT Astra Serif"/>
          <w:sz w:val="2"/>
          <w:szCs w:val="2"/>
        </w:rPr>
      </w:pPr>
    </w:p>
    <w:p w14:paraId="074AB39C" w14:textId="77777777" w:rsidR="00467797" w:rsidRDefault="00467797">
      <w:pPr>
        <w:rPr>
          <w:rFonts w:ascii="PT Astra Serif" w:hAnsi="PT Astra Serif" w:cs="PT Astra Serif"/>
        </w:rPr>
      </w:pPr>
    </w:p>
    <w:sectPr w:rsidR="00467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AD8C" w14:textId="77777777" w:rsidR="00D90917" w:rsidRDefault="00D90917">
      <w:pPr>
        <w:spacing w:line="240" w:lineRule="auto"/>
      </w:pPr>
      <w:r>
        <w:separator/>
      </w:r>
    </w:p>
  </w:endnote>
  <w:endnote w:type="continuationSeparator" w:id="0">
    <w:p w14:paraId="7BED48B4" w14:textId="77777777" w:rsidR="00D90917" w:rsidRDefault="00D909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libri"/>
    <w:charset w:val="00"/>
    <w:family w:val="auto"/>
    <w:pitch w:val="default"/>
    <w:sig w:usb0="A00002EF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91C19" w14:textId="77777777" w:rsidR="00D90917" w:rsidRDefault="00D90917">
      <w:pPr>
        <w:spacing w:after="0"/>
      </w:pPr>
      <w:r>
        <w:separator/>
      </w:r>
    </w:p>
  </w:footnote>
  <w:footnote w:type="continuationSeparator" w:id="0">
    <w:p w14:paraId="7CDAB8AC" w14:textId="77777777" w:rsidR="00D90917" w:rsidRDefault="00D909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69E"/>
    <w:rsid w:val="00115D2C"/>
    <w:rsid w:val="00126C7D"/>
    <w:rsid w:val="001507FD"/>
    <w:rsid w:val="00467797"/>
    <w:rsid w:val="00542167"/>
    <w:rsid w:val="00567692"/>
    <w:rsid w:val="0069307F"/>
    <w:rsid w:val="007742E2"/>
    <w:rsid w:val="007D4319"/>
    <w:rsid w:val="00802DDC"/>
    <w:rsid w:val="008D654E"/>
    <w:rsid w:val="00943AD2"/>
    <w:rsid w:val="00AD5823"/>
    <w:rsid w:val="00AF52E1"/>
    <w:rsid w:val="00B0469E"/>
    <w:rsid w:val="00B43307"/>
    <w:rsid w:val="00B50268"/>
    <w:rsid w:val="00CA54EF"/>
    <w:rsid w:val="00D01007"/>
    <w:rsid w:val="00D17A32"/>
    <w:rsid w:val="00D334E2"/>
    <w:rsid w:val="00D90917"/>
    <w:rsid w:val="00F21339"/>
    <w:rsid w:val="00F90A86"/>
    <w:rsid w:val="00FD6754"/>
    <w:rsid w:val="19F02A88"/>
    <w:rsid w:val="39757091"/>
    <w:rsid w:val="4BB15ACB"/>
    <w:rsid w:val="56125FA8"/>
    <w:rsid w:val="582B0A5E"/>
    <w:rsid w:val="60420BAA"/>
    <w:rsid w:val="62FC0DE2"/>
    <w:rsid w:val="6E124179"/>
    <w:rsid w:val="6F6A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89D72"/>
  <w15:docId w15:val="{FC16BA03-6EF8-4094-9521-6DB10F32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9662" TargetMode="External"/><Relationship Id="rId13" Type="http://schemas.openxmlformats.org/officeDocument/2006/relationships/hyperlink" Target="https://login.consultant.ru/link/?req=doc&amp;base=RLAW053&amp;n=151641" TargetMode="External"/><Relationship Id="rId18" Type="http://schemas.openxmlformats.org/officeDocument/2006/relationships/hyperlink" Target="https://login.consultant.ru/link/?req=doc&amp;base=LAW&amp;n=461843" TargetMode="External"/><Relationship Id="rId26" Type="http://schemas.openxmlformats.org/officeDocument/2006/relationships/hyperlink" Target="https://ru.wikipedia.org/wiki/%D0%AE%D0%BA%D0%B0%D0%BC%D0%B5%D0%BD%D1%81%D0%BA%D0%B8%D0%B9_%D1%80%D0%B0%D0%B9%D0%BE%D0%BD" TargetMode="External"/><Relationship Id="rId39" Type="http://schemas.openxmlformats.org/officeDocument/2006/relationships/hyperlink" Target="https://ru.wikipedia.org/wiki/%D0%9A%D0%B8%D0%BB%D1%8C%D0%BC%D0%B5%D0%B7%D1%8C_(%D1%80%D0%B5%D0%BA%D0%B0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53&amp;n=156823&amp;dst=100012" TargetMode="External"/><Relationship Id="rId34" Type="http://schemas.openxmlformats.org/officeDocument/2006/relationships/hyperlink" Target="https://ru.wikipedia.org/wiki/%D0%A3%D0%B1%D1%8B%D1%82%D1%8C" TargetMode="External"/><Relationship Id="rId42" Type="http://schemas.openxmlformats.org/officeDocument/2006/relationships/hyperlink" Target="https://login.consultant.ru/link/?req=doc&amp;base=RLAW053&amp;n=151411&amp;dst=100012" TargetMode="External"/><Relationship Id="rId7" Type="http://schemas.openxmlformats.org/officeDocument/2006/relationships/hyperlink" Target="https://login.consultant.ru/link/?req=doc&amp;base=RLAW053&amp;n=151641" TargetMode="External"/><Relationship Id="rId12" Type="http://schemas.openxmlformats.org/officeDocument/2006/relationships/hyperlink" Target="https://login.consultant.ru/link/?req=doc&amp;base=LAW&amp;n=472832" TargetMode="External"/><Relationship Id="rId17" Type="http://schemas.openxmlformats.org/officeDocument/2006/relationships/hyperlink" Target="https://login.consultant.ru/link/?req=doc&amp;base=LAW&amp;n=465775" TargetMode="External"/><Relationship Id="rId25" Type="http://schemas.openxmlformats.org/officeDocument/2006/relationships/hyperlink" Target="https://ru.wikipedia.org/wiki/%D0%9A%D0%B8%D1%80%D0%BE%D0%B2%D1%81%D0%BA%D0%B0%D1%8F_%D0%BE%D0%B1%D0%BB%D0%B0%D1%81%D1%82%D1%8C" TargetMode="External"/><Relationship Id="rId33" Type="http://schemas.openxmlformats.org/officeDocument/2006/relationships/hyperlink" Target="https://ru.wikipedia.org/wiki/%D0%A3%D1%82%D1%8C_(%D0%BF%D1%80%D0%B8%D1%82%D0%BE%D0%BA_%D0%9A%D0%B8%D0%BB%D1%8C%D0%BC%D0%B5%D0%B7%D0%B8)" TargetMode="External"/><Relationship Id="rId38" Type="http://schemas.openxmlformats.org/officeDocument/2006/relationships/hyperlink" Target="https://ru.wikipedia.org/wiki/%D0%A1%D0%B0%D0%BB%D1%8F_(%D1%80%D0%B5%D0%BA%D0%B0)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5775" TargetMode="External"/><Relationship Id="rId20" Type="http://schemas.openxmlformats.org/officeDocument/2006/relationships/hyperlink" Target="https://login.consultant.ru/link/?req=doc&amp;base=LAW&amp;n=325763&amp;dst=2" TargetMode="External"/><Relationship Id="rId29" Type="http://schemas.openxmlformats.org/officeDocument/2006/relationships/hyperlink" Target="https://ru.wikipedia.org/wiki/%D0%98%D0%B3%D1%80%D0%B8%D0%BD%D1%81%D0%BA%D0%B8%D0%B9_%D1%80%D0%B0%D0%B9%D0%BE%D0%BD" TargetMode="External"/><Relationship Id="rId41" Type="http://schemas.openxmlformats.org/officeDocument/2006/relationships/hyperlink" Target="https://login.consultant.ru/link/?req=doc&amp;base=LAW&amp;n=4728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185" TargetMode="External"/><Relationship Id="rId11" Type="http://schemas.openxmlformats.org/officeDocument/2006/relationships/hyperlink" Target="https://login.consultant.ru/link/?req=doc&amp;base=LAW&amp;n=464185" TargetMode="External"/><Relationship Id="rId24" Type="http://schemas.openxmlformats.org/officeDocument/2006/relationships/hyperlink" Target="https://login.consultant.ru/link/?req=doc&amp;base=STR&amp;n=28513" TargetMode="External"/><Relationship Id="rId32" Type="http://schemas.openxmlformats.org/officeDocument/2006/relationships/hyperlink" Target="https://ru.wikipedia.org/wiki/%D0%9A%D0%B8%D0%BB%D1%8C%D0%BC%D0%B5%D0%B7%D1%81%D0%BA%D0%B0%D1%8F_%D0%BD%D0%B8%D0%B7%D0%BC%D0%B5%D0%BD%D0%BD%D0%BE%D1%81%D1%82%D1%8C" TargetMode="External"/><Relationship Id="rId37" Type="http://schemas.openxmlformats.org/officeDocument/2006/relationships/hyperlink" Target="https://ru.wikipedia.org/wiki/%D0%9B%D0%B5%D0%BA%D0%BC%D0%B0_(%D0%BF%D1%80%D0%B8%D1%82%D0%BE%D0%BA_%D0%A7%D0%B5%D0%BF%D1%86%D1%8B)" TargetMode="External"/><Relationship Id="rId40" Type="http://schemas.openxmlformats.org/officeDocument/2006/relationships/hyperlink" Target="https://ru.wikipedia.org/wiki/%D0%92%D1%8F%D1%82%D0%BA%D0%B0_(%D1%80%D0%B5%D0%BA%D0%B0)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3040&amp;dst=100012" TargetMode="External"/><Relationship Id="rId23" Type="http://schemas.openxmlformats.org/officeDocument/2006/relationships/hyperlink" Target="https://login.consultant.ru/link/?req=doc&amp;base=STR&amp;n=28513" TargetMode="External"/><Relationship Id="rId28" Type="http://schemas.openxmlformats.org/officeDocument/2006/relationships/hyperlink" Target="https://ru.wikipedia.org/wiki/%D0%91%D0%B0%D0%BB%D0%B5%D0%B7%D0%B8%D0%BD%D1%81%D0%BA%D0%B8%D0%B9_%D1%80%D0%B0%D0%B9%D0%BE%D0%BD" TargetMode="External"/><Relationship Id="rId36" Type="http://schemas.openxmlformats.org/officeDocument/2006/relationships/hyperlink" Target="https://ru.wikipedia.org/w/index.php?title=%D0%9F%D0%B5%D1%81%D1%82%D0%B0%D1%80%D1%8C_(%D1%80%D0%B5%D0%BA%D0%B0)&amp;action=edit&amp;redlink=1" TargetMode="External"/><Relationship Id="rId10" Type="http://schemas.openxmlformats.org/officeDocument/2006/relationships/hyperlink" Target="https://login.consultant.ru/link/?req=doc&amp;base=RLAW053&amp;n=156823&amp;dst=100012" TargetMode="External"/><Relationship Id="rId19" Type="http://schemas.openxmlformats.org/officeDocument/2006/relationships/hyperlink" Target="https://login.consultant.ru/link/?req=doc&amp;base=LAW&amp;n=111609" TargetMode="External"/><Relationship Id="rId31" Type="http://schemas.openxmlformats.org/officeDocument/2006/relationships/hyperlink" Target="https://ru.wikipedia.org/wiki/%D0%9A%D1%80%D0%B0%D1%81%D0%BD%D0%BE%D0%B3%D0%BE%D1%80%D1%81%D0%BA%D0%B0%D1%8F_%D0%B2%D0%BE%D0%B7%D0%B2%D1%8B%D1%88%D0%B5%D0%BD%D0%BD%D0%BE%D1%81%D1%82%D1%8C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64185&amp;dst=100068" TargetMode="External"/><Relationship Id="rId14" Type="http://schemas.openxmlformats.org/officeDocument/2006/relationships/hyperlink" Target="https://login.consultant.ru/link/?req=doc&amp;base=LAW&amp;n=464879" TargetMode="External"/><Relationship Id="rId22" Type="http://schemas.openxmlformats.org/officeDocument/2006/relationships/hyperlink" Target="https://login.consultant.ru/link/?req=doc&amp;base=RLAW053&amp;n=98766" TargetMode="External"/><Relationship Id="rId27" Type="http://schemas.openxmlformats.org/officeDocument/2006/relationships/hyperlink" Target="https://ru.wikipedia.org/wiki/%D0%93%D0%BB%D0%B0%D0%B7%D0%BE%D0%B2%D1%81%D0%BA%D0%B8%D0%B9_%D1%80%D0%B0%D0%B9%D0%BE%D0%BD" TargetMode="External"/><Relationship Id="rId30" Type="http://schemas.openxmlformats.org/officeDocument/2006/relationships/hyperlink" Target="https://ru.wikipedia.org/wiki/%D0%A1%D0%B5%D0%BB%D1%82%D0%B8%D0%BD%D1%81%D0%BA%D0%B8%D0%B9_%D1%80%D0%B0%D0%B9%D0%BE%D0%BD" TargetMode="External"/><Relationship Id="rId35" Type="http://schemas.openxmlformats.org/officeDocument/2006/relationships/hyperlink" Target="https://ru.wikipedia.org/wiki/%D0%A1%D0%B5%D0%BF%D1%8B%D1%87_(%D0%BF%D1%80%D0%B8%D1%82%D0%BE%D0%BA_%D0%A7%D0%B5%D0%BF%D1%86%D1%8B)" TargetMode="External"/><Relationship Id="rId43" Type="http://schemas.openxmlformats.org/officeDocument/2006/relationships/hyperlink" Target="https://login.consultant.ru/link/?req=doc&amp;base=LAW&amp;n=464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9302</Words>
  <Characters>53024</Characters>
  <Application>Microsoft Office Word</Application>
  <DocSecurity>0</DocSecurity>
  <Lines>441</Lines>
  <Paragraphs>124</Paragraphs>
  <ScaleCrop>false</ScaleCrop>
  <Company/>
  <LinksUpToDate>false</LinksUpToDate>
  <CharactersWithSpaces>62202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Поторочин Павел Павлович</cp:lastModifiedBy>
  <cp:revision>14</cp:revision>
  <dcterms:created xsi:type="dcterms:W3CDTF">2024-04-17T10:00:00Z</dcterms:created>
  <dcterms:modified xsi:type="dcterms:W3CDTF">2026-10-20T11:28:00Z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8AB338C251AC4A0297DAAFD57525D169_13</vt:lpwstr>
  </property>
</Properties>
</file>