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69" w:type="dxa"/>
        <w:jc w:val="center"/>
        <w:tblLayout w:type="fixed"/>
        <w:tblLook w:val="0000" w:firstRow="0" w:lastRow="0" w:firstColumn="0" w:lastColumn="0" w:noHBand="0" w:noVBand="0"/>
      </w:tblPr>
      <w:tblGrid>
        <w:gridCol w:w="9869"/>
      </w:tblGrid>
      <w:tr w:rsidR="00A84E22">
        <w:trPr>
          <w:jc w:val="center"/>
        </w:trPr>
        <w:tc>
          <w:tcPr>
            <w:tcW w:w="9869" w:type="dxa"/>
            <w:tcBorders>
              <w:top w:val="nil"/>
              <w:left w:val="nil"/>
              <w:bottom w:val="nil"/>
              <w:right w:val="nil"/>
            </w:tcBorders>
          </w:tcPr>
          <w:tbl>
            <w:tblPr>
              <w:tblW w:w="9869" w:type="dxa"/>
              <w:jc w:val="center"/>
              <w:tblLayout w:type="fixed"/>
              <w:tblLook w:val="0000" w:firstRow="0" w:lastRow="0" w:firstColumn="0" w:lastColumn="0" w:noHBand="0" w:noVBand="0"/>
            </w:tblPr>
            <w:tblGrid>
              <w:gridCol w:w="4410"/>
              <w:gridCol w:w="1276"/>
              <w:gridCol w:w="4183"/>
            </w:tblGrid>
            <w:tr w:rsidR="00A84E22">
              <w:trPr>
                <w:trHeight w:val="1147"/>
                <w:jc w:val="center"/>
              </w:trPr>
              <w:tc>
                <w:tcPr>
                  <w:tcW w:w="4410" w:type="dxa"/>
                  <w:tcBorders>
                    <w:top w:val="nil"/>
                    <w:left w:val="nil"/>
                    <w:bottom w:val="nil"/>
                    <w:right w:val="nil"/>
                  </w:tcBorders>
                  <w:vAlign w:val="center"/>
                </w:tcPr>
                <w:p w:rsidR="00A84E22" w:rsidRDefault="00A84E22">
                  <w:pPr>
                    <w:keepNext/>
                    <w:keepLines/>
                    <w:spacing w:after="0" w:line="240" w:lineRule="auto"/>
                    <w:ind w:left="-147" w:right="-57"/>
                    <w:jc w:val="center"/>
                    <w:outlineLvl w:val="1"/>
                    <w:rPr>
                      <w:rFonts w:ascii="Times New Roman"/>
                      <w:color w:val="4F81BD"/>
                      <w:sz w:val="24"/>
                      <w:szCs w:val="24"/>
                      <w:lang w:eastAsia="en-US"/>
                    </w:rPr>
                  </w:pPr>
                </w:p>
              </w:tc>
              <w:tc>
                <w:tcPr>
                  <w:tcW w:w="1276" w:type="dxa"/>
                  <w:tcBorders>
                    <w:top w:val="nil"/>
                    <w:left w:val="nil"/>
                    <w:bottom w:val="nil"/>
                    <w:right w:val="nil"/>
                  </w:tcBorders>
                </w:tcPr>
                <w:p w:rsidR="00A84E22" w:rsidRDefault="008572C5">
                  <w:pPr>
                    <w:tabs>
                      <w:tab w:val="left" w:pos="560"/>
                      <w:tab w:val="left" w:pos="743"/>
                    </w:tabs>
                    <w:spacing w:after="0" w:line="240" w:lineRule="auto"/>
                    <w:ind w:left="-108" w:right="-108"/>
                    <w:rPr>
                      <w:rFonts w:ascii="Times New Roman"/>
                      <w:sz w:val="24"/>
                      <w:szCs w:val="24"/>
                      <w:lang w:eastAsia="en-US"/>
                    </w:rPr>
                  </w:pPr>
                  <w:r>
                    <w:rPr>
                      <w:rFonts w:ascii="Times New Roman"/>
                      <w:noProof/>
                      <w:sz w:val="24"/>
                      <w:szCs w:val="24"/>
                      <w:lang w:val="ru-RU" w:eastAsia="ru-RU"/>
                    </w:rPr>
                    <w:drawing>
                      <wp:inline distT="0" distB="0" distL="0" distR="0">
                        <wp:extent cx="681355" cy="612775"/>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355" cy="612775"/>
                                </a:xfrm>
                                <a:prstGeom prst="rect">
                                  <a:avLst/>
                                </a:prstGeom>
                                <a:noFill/>
                                <a:ln>
                                  <a:noFill/>
                                </a:ln>
                              </pic:spPr>
                            </pic:pic>
                          </a:graphicData>
                        </a:graphic>
                      </wp:inline>
                    </w:drawing>
                  </w:r>
                </w:p>
              </w:tc>
              <w:tc>
                <w:tcPr>
                  <w:tcW w:w="4183" w:type="dxa"/>
                  <w:tcBorders>
                    <w:top w:val="nil"/>
                    <w:left w:val="nil"/>
                    <w:bottom w:val="nil"/>
                    <w:right w:val="nil"/>
                  </w:tcBorders>
                  <w:vAlign w:val="center"/>
                </w:tcPr>
                <w:p w:rsidR="00A84E22" w:rsidRDefault="00A84E22">
                  <w:pPr>
                    <w:spacing w:after="0" w:line="240" w:lineRule="auto"/>
                    <w:jc w:val="center"/>
                    <w:rPr>
                      <w:rFonts w:ascii="Times New Roman"/>
                      <w:b/>
                      <w:sz w:val="24"/>
                      <w:szCs w:val="24"/>
                      <w:lang w:eastAsia="en-US"/>
                    </w:rPr>
                  </w:pPr>
                </w:p>
              </w:tc>
            </w:tr>
            <w:tr w:rsidR="00A84E22">
              <w:trPr>
                <w:jc w:val="center"/>
              </w:trPr>
              <w:tc>
                <w:tcPr>
                  <w:tcW w:w="9869" w:type="dxa"/>
                  <w:gridSpan w:val="3"/>
                  <w:tcBorders>
                    <w:top w:val="nil"/>
                    <w:left w:val="nil"/>
                    <w:bottom w:val="nil"/>
                    <w:right w:val="nil"/>
                  </w:tcBorders>
                </w:tcPr>
                <w:p w:rsidR="00A84E22" w:rsidRDefault="00A84E22">
                  <w:pPr>
                    <w:spacing w:after="0" w:line="240" w:lineRule="auto"/>
                    <w:ind w:left="-207" w:hanging="142"/>
                    <w:jc w:val="center"/>
                    <w:rPr>
                      <w:rFonts w:ascii="Times New Roman" w:hAnsi="Times New Roman"/>
                      <w:b/>
                      <w:sz w:val="24"/>
                      <w:szCs w:val="24"/>
                      <w:lang w:eastAsia="en-US"/>
                    </w:rPr>
                  </w:pPr>
                  <w:r>
                    <w:rPr>
                      <w:rFonts w:ascii="Times New Roman" w:hAnsi="Times New Roman"/>
                      <w:b/>
                      <w:sz w:val="24"/>
                      <w:szCs w:val="24"/>
                      <w:lang w:eastAsia="en-US"/>
                    </w:rPr>
                    <w:t>АДМИНИСТРАЦИЯ МУНИЦИПАЛЬНОГО ОБРАЗОВАНИЯ</w:t>
                  </w:r>
                </w:p>
                <w:p w:rsidR="00A84E22" w:rsidRDefault="00A84E22">
                  <w:pPr>
                    <w:spacing w:after="0" w:line="240" w:lineRule="auto"/>
                    <w:ind w:left="-207" w:hanging="142"/>
                    <w:jc w:val="center"/>
                    <w:rPr>
                      <w:rFonts w:ascii="Times New Roman" w:hAnsi="Times New Roman"/>
                      <w:b/>
                      <w:sz w:val="24"/>
                      <w:szCs w:val="24"/>
                      <w:lang w:eastAsia="en-US"/>
                    </w:rPr>
                  </w:pPr>
                  <w:r>
                    <w:rPr>
                      <w:rFonts w:ascii="Times New Roman" w:hAnsi="Times New Roman"/>
                      <w:b/>
                      <w:sz w:val="24"/>
                      <w:szCs w:val="24"/>
                      <w:lang w:eastAsia="en-US"/>
                    </w:rPr>
                    <w:t>«МУНИЦИПАЛЬНЫЙ ОКРУГ КРАСНОГОРСКИЙ РАЙОН</w:t>
                  </w:r>
                </w:p>
                <w:p w:rsidR="00A84E22" w:rsidRDefault="00A84E22">
                  <w:pPr>
                    <w:spacing w:after="0" w:line="240" w:lineRule="auto"/>
                    <w:ind w:left="-207" w:hanging="142"/>
                    <w:jc w:val="center"/>
                    <w:rPr>
                      <w:rFonts w:ascii="Times New Roman" w:hAnsi="Times New Roman"/>
                      <w:b/>
                      <w:sz w:val="24"/>
                      <w:szCs w:val="24"/>
                      <w:lang w:eastAsia="en-US"/>
                    </w:rPr>
                  </w:pPr>
                  <w:r>
                    <w:rPr>
                      <w:rFonts w:ascii="Times New Roman" w:hAnsi="Times New Roman"/>
                      <w:b/>
                      <w:sz w:val="24"/>
                      <w:szCs w:val="24"/>
                      <w:lang w:eastAsia="en-US"/>
                    </w:rPr>
                    <w:t>УДМУРТСКОЙ РЕСПУБЛИКИ»</w:t>
                  </w:r>
                </w:p>
                <w:p w:rsidR="00A84E22" w:rsidRDefault="00A84E22">
                  <w:pPr>
                    <w:spacing w:after="0" w:line="240" w:lineRule="auto"/>
                    <w:ind w:left="-207" w:hanging="142"/>
                    <w:jc w:val="center"/>
                    <w:rPr>
                      <w:rFonts w:ascii="Times New Roman" w:hAnsi="Times New Roman"/>
                      <w:b/>
                      <w:sz w:val="24"/>
                      <w:szCs w:val="24"/>
                      <w:lang w:eastAsia="en-US"/>
                    </w:rPr>
                  </w:pPr>
                </w:p>
                <w:p w:rsidR="00A84E22" w:rsidRDefault="00A84E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«УДМУРТ ЭЛЬКУНЫСЬ КРАСНОГОРСК ЁРОС</w:t>
                  </w:r>
                </w:p>
                <w:p w:rsidR="00A84E22" w:rsidRDefault="00A84E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МУНИЦИПАЛ ОКРУГ» МУНИЦИПАЛ КЫЛДЫТЭТЛЭН</w:t>
                  </w:r>
                </w:p>
                <w:p w:rsidR="00A84E22" w:rsidRDefault="00A84E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АДМИНИСТРАЦИЕЗ</w:t>
                  </w:r>
                </w:p>
              </w:tc>
            </w:tr>
            <w:tr w:rsidR="00A84E22">
              <w:trPr>
                <w:jc w:val="center"/>
              </w:trPr>
              <w:tc>
                <w:tcPr>
                  <w:tcW w:w="9869" w:type="dxa"/>
                  <w:gridSpan w:val="3"/>
                  <w:tcBorders>
                    <w:top w:val="nil"/>
                    <w:left w:val="nil"/>
                    <w:bottom w:val="nil"/>
                    <w:right w:val="nil"/>
                  </w:tcBorders>
                </w:tcPr>
                <w:p w:rsidR="00A84E22" w:rsidRDefault="00A84E22">
                  <w:pPr>
                    <w:keepNext/>
                    <w:tabs>
                      <w:tab w:val="left" w:pos="4515"/>
                    </w:tabs>
                    <w:spacing w:after="0" w:line="240" w:lineRule="auto"/>
                    <w:ind w:left="-108"/>
                    <w:jc w:val="center"/>
                    <w:outlineLvl w:val="0"/>
                    <w:rPr>
                      <w:rFonts w:ascii="Times New Roman"/>
                      <w:b/>
                      <w:sz w:val="24"/>
                      <w:szCs w:val="24"/>
                    </w:rPr>
                  </w:pPr>
                </w:p>
                <w:p w:rsidR="00A84E22" w:rsidRDefault="00A84E22">
                  <w:pPr>
                    <w:keepNext/>
                    <w:tabs>
                      <w:tab w:val="left" w:pos="4515"/>
                    </w:tabs>
                    <w:spacing w:after="0" w:line="240" w:lineRule="auto"/>
                    <w:ind w:left="-108"/>
                    <w:jc w:val="center"/>
                    <w:outlineLvl w:val="0"/>
                    <w:rPr>
                      <w:rFonts w:ascii="Times New Roman"/>
                      <w:b/>
                      <w:sz w:val="24"/>
                      <w:szCs w:val="24"/>
                      <w:lang w:val="en-US"/>
                    </w:rPr>
                  </w:pPr>
                  <w:r>
                    <w:rPr>
                      <w:rFonts w:ascii="Times New Roman" w:hAnsi="Times New Roman"/>
                      <w:b/>
                      <w:sz w:val="24"/>
                      <w:szCs w:val="24"/>
                    </w:rPr>
                    <w:t>ПОСТАНОВЛЕНИЕ</w:t>
                  </w:r>
                </w:p>
              </w:tc>
            </w:tr>
          </w:tbl>
          <w:p w:rsidR="00A84E22" w:rsidRDefault="00A84E22">
            <w:pPr>
              <w:spacing w:after="0" w:line="240" w:lineRule="auto"/>
              <w:rPr>
                <w:rFonts w:ascii="Times New Roman"/>
                <w:sz w:val="24"/>
                <w:szCs w:val="24"/>
              </w:rPr>
            </w:pPr>
          </w:p>
        </w:tc>
      </w:tr>
    </w:tbl>
    <w:p w:rsidR="00A84E22" w:rsidRDefault="00A84E22">
      <w:pPr>
        <w:spacing w:after="0" w:line="240" w:lineRule="auto"/>
        <w:jc w:val="both"/>
        <w:rPr>
          <w:rFonts w:ascii="Times New Roman"/>
          <w:sz w:val="24"/>
          <w:szCs w:val="24"/>
          <w:lang w:eastAsia="en-US"/>
        </w:rPr>
      </w:pPr>
    </w:p>
    <w:p w:rsidR="00A84E22" w:rsidRDefault="00A84E22">
      <w:pPr>
        <w:spacing w:after="0" w:line="240" w:lineRule="auto"/>
        <w:jc w:val="both"/>
        <w:rPr>
          <w:rFonts w:ascii="Times New Roman"/>
          <w:sz w:val="24"/>
          <w:szCs w:val="24"/>
          <w:lang w:eastAsia="en-US"/>
        </w:rPr>
      </w:pPr>
      <w:r>
        <w:rPr>
          <w:rFonts w:ascii="Times New Roman" w:hAnsi="Times New Roman"/>
          <w:sz w:val="24"/>
          <w:szCs w:val="24"/>
          <w:lang w:eastAsia="en-US"/>
        </w:rPr>
        <w:t>«</w:t>
      </w:r>
      <w:r w:rsidR="00680DFC">
        <w:rPr>
          <w:rFonts w:ascii="Times New Roman" w:hAnsi="Times New Roman"/>
          <w:sz w:val="24"/>
          <w:szCs w:val="24"/>
          <w:lang w:eastAsia="en-US"/>
        </w:rPr>
        <w:t>12</w:t>
      </w:r>
      <w:r>
        <w:rPr>
          <w:rFonts w:ascii="Times New Roman" w:hAnsi="Times New Roman"/>
          <w:sz w:val="24"/>
          <w:szCs w:val="24"/>
          <w:lang w:eastAsia="en-US"/>
        </w:rPr>
        <w:t xml:space="preserve">» март 2024 года </w:t>
      </w:r>
      <w:r>
        <w:rPr>
          <w:rFonts w:ascii="Times New Roman" w:hAnsi="Times New Roman"/>
          <w:sz w:val="24"/>
          <w:szCs w:val="24"/>
          <w:lang w:val="en-US" w:eastAsia="en-US"/>
        </w:rPr>
        <w:t xml:space="preserve">               </w:t>
      </w:r>
      <w:r>
        <w:rPr>
          <w:rFonts w:ascii="Times New Roman" w:hAnsi="Times New Roman"/>
          <w:sz w:val="24"/>
          <w:szCs w:val="24"/>
          <w:lang w:eastAsia="en-US"/>
        </w:rPr>
        <w:t xml:space="preserve">                                                      </w:t>
      </w:r>
      <w:r>
        <w:rPr>
          <w:rFonts w:ascii="Times New Roman"/>
          <w:sz w:val="24"/>
          <w:szCs w:val="24"/>
          <w:lang w:eastAsia="en-US"/>
        </w:rPr>
        <w:tab/>
      </w:r>
      <w:r>
        <w:rPr>
          <w:rFonts w:ascii="Times New Roman"/>
          <w:sz w:val="24"/>
          <w:szCs w:val="24"/>
          <w:lang w:eastAsia="en-US"/>
        </w:rPr>
        <w:tab/>
      </w:r>
      <w:r>
        <w:rPr>
          <w:rFonts w:ascii="Times New Roman"/>
          <w:sz w:val="24"/>
          <w:szCs w:val="24"/>
          <w:lang w:eastAsia="en-US"/>
        </w:rPr>
        <w:tab/>
      </w:r>
      <w:r>
        <w:rPr>
          <w:rFonts w:ascii="Times New Roman"/>
          <w:sz w:val="24"/>
          <w:szCs w:val="24"/>
          <w:lang w:eastAsia="en-US"/>
        </w:rPr>
        <w:tab/>
      </w:r>
      <w:r>
        <w:rPr>
          <w:rFonts w:ascii="Times New Roman" w:hAnsi="Times New Roman"/>
          <w:sz w:val="24"/>
          <w:szCs w:val="24"/>
          <w:lang w:eastAsia="en-US"/>
        </w:rPr>
        <w:t xml:space="preserve">№ </w:t>
      </w:r>
      <w:r w:rsidR="00680DFC">
        <w:rPr>
          <w:rFonts w:ascii="Times New Roman" w:hAnsi="Times New Roman"/>
          <w:sz w:val="24"/>
          <w:szCs w:val="24"/>
          <w:lang w:eastAsia="en-US"/>
        </w:rPr>
        <w:t>252</w:t>
      </w:r>
    </w:p>
    <w:p w:rsidR="00A84E22" w:rsidRDefault="00A84E22">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с. Красногорское</w:t>
      </w:r>
    </w:p>
    <w:p w:rsidR="00A84E22" w:rsidRDefault="00A84E22">
      <w:pPr>
        <w:pStyle w:val="ConsPlusNormal"/>
        <w:ind w:firstLine="540"/>
        <w:jc w:val="both"/>
      </w:pPr>
    </w:p>
    <w:p w:rsidR="00A84E22" w:rsidRDefault="00A84E22">
      <w:pPr>
        <w:pStyle w:val="ConsPlusNormal"/>
        <w:ind w:right="5102"/>
        <w:jc w:val="both"/>
      </w:pPr>
      <w:r>
        <w:t xml:space="preserve">О внесении изменений в Порядок 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 </w:t>
      </w:r>
    </w:p>
    <w:p w:rsidR="00A84E22" w:rsidRDefault="00A84E22">
      <w:pPr>
        <w:pStyle w:val="ConsPlusNormal"/>
        <w:ind w:firstLine="540"/>
        <w:jc w:val="both"/>
      </w:pPr>
    </w:p>
    <w:p w:rsidR="00A84E22" w:rsidRDefault="00A84E22">
      <w:pPr>
        <w:pStyle w:val="ConsPlusNormal"/>
        <w:ind w:firstLine="540"/>
        <w:jc w:val="both"/>
      </w:pPr>
      <w:r>
        <w:t>На основании постановления Правительства Удмуртской Республики от 11 декабря 2023 г № 826 «О внесении изменений в постановление Правительства Удмуртской Республики от 30.12.2016 г № 563 «О порядке предоставления инвесторам льготных условий пользования земельными участками, находящимися в собственности Удмуртской Республики, а также земельными участками, государственная собственность на которые не разграничена», руководствуясь Уставом муниципального образования «Муниципальный округ Красногорский район Удмуртской Республики»,</w:t>
      </w:r>
    </w:p>
    <w:p w:rsidR="00A84E22" w:rsidRDefault="00A84E22">
      <w:pPr>
        <w:pStyle w:val="ConsPlusNormal"/>
        <w:jc w:val="center"/>
      </w:pPr>
    </w:p>
    <w:p w:rsidR="00A84E22" w:rsidRDefault="00A84E22">
      <w:pPr>
        <w:pStyle w:val="ConsPlusNormal"/>
        <w:jc w:val="center"/>
      </w:pPr>
      <w:r>
        <w:t>АДМИНИСТРАЦИЯ ПОСТАНОВЛЯЕТ:</w:t>
      </w:r>
    </w:p>
    <w:p w:rsidR="00A84E22" w:rsidRDefault="00A84E22">
      <w:pPr>
        <w:pStyle w:val="ConsPlusNormal"/>
        <w:jc w:val="center"/>
      </w:pPr>
    </w:p>
    <w:p w:rsidR="00A84E22" w:rsidRDefault="00A84E22">
      <w:pPr>
        <w:pStyle w:val="ConsPlusNormal"/>
        <w:ind w:firstLine="540"/>
        <w:jc w:val="both"/>
      </w:pPr>
      <w:r>
        <w:t>1. Внести в постановление Администрации муниципального образования «Муниципальный округ Красногорский район Удмуртской Республики» от 19 июня 2023 года № 637 «О порядке 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 изменение,</w:t>
      </w:r>
      <w:r>
        <w:rPr>
          <w:b/>
        </w:rPr>
        <w:t xml:space="preserve"> </w:t>
      </w:r>
      <w:r>
        <w:t>изложив Порядок 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 в редакции согласно приложению (Приложение № 1).</w:t>
      </w:r>
    </w:p>
    <w:p w:rsidR="00A84E22" w:rsidRDefault="00A84E22">
      <w:pPr>
        <w:pStyle w:val="ConsPlusNormal"/>
        <w:ind w:firstLine="540"/>
        <w:jc w:val="both"/>
      </w:pPr>
      <w:r>
        <w:t>2. Контроль за исполнением настоящего постановления возложить на заместителя главы Администрации по вопросам строительства, ЖКХ и имущественных отношений муниципального образования «Муниципальный округ Красногорский район Удмуртской Республики» Салтыкова С.В.</w:t>
      </w:r>
    </w:p>
    <w:p w:rsidR="00A84E22" w:rsidRDefault="00A84E22">
      <w:pPr>
        <w:pStyle w:val="ConsPlusNormal"/>
        <w:ind w:firstLine="540"/>
        <w:jc w:val="both"/>
      </w:pPr>
    </w:p>
    <w:p w:rsidR="00A84E22" w:rsidRDefault="00A84E22">
      <w:pPr>
        <w:pStyle w:val="ConsPlusNormal"/>
        <w:ind w:firstLine="540"/>
        <w:jc w:val="both"/>
      </w:pPr>
    </w:p>
    <w:p w:rsidR="00A84E22" w:rsidRDefault="00A84E22">
      <w:pPr>
        <w:spacing w:after="0"/>
        <w:rPr>
          <w:rFonts w:ascii="Times New Roman" w:hAnsi="Times New Roman"/>
          <w:sz w:val="24"/>
          <w:szCs w:val="24"/>
        </w:rPr>
      </w:pPr>
      <w:bookmarkStart w:id="0" w:name="_Hlk111443758"/>
      <w:r>
        <w:rPr>
          <w:rFonts w:ascii="Times New Roman" w:hAnsi="Times New Roman"/>
          <w:sz w:val="24"/>
          <w:szCs w:val="24"/>
        </w:rPr>
        <w:t xml:space="preserve">Глава муниципального </w:t>
      </w:r>
    </w:p>
    <w:p w:rsidR="00A84E22" w:rsidRDefault="00A84E22">
      <w:pPr>
        <w:spacing w:after="0"/>
        <w:rPr>
          <w:rFonts w:ascii="Times New Roman"/>
          <w:sz w:val="24"/>
          <w:szCs w:val="24"/>
        </w:rPr>
      </w:pPr>
      <w:r>
        <w:rPr>
          <w:rFonts w:ascii="Times New Roman" w:hAnsi="Times New Roman"/>
          <w:sz w:val="24"/>
          <w:szCs w:val="24"/>
        </w:rPr>
        <w:t xml:space="preserve">образования «Муниципальный округ                                </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hAnsi="Times New Roman"/>
          <w:sz w:val="24"/>
          <w:szCs w:val="24"/>
        </w:rPr>
        <w:t>Л.И. Сергеева</w:t>
      </w:r>
    </w:p>
    <w:p w:rsidR="00A84E22" w:rsidRDefault="00A84E22">
      <w:pPr>
        <w:spacing w:after="0"/>
        <w:rPr>
          <w:rFonts w:ascii="Times New Roman" w:hAnsi="Times New Roman"/>
          <w:sz w:val="24"/>
          <w:szCs w:val="24"/>
        </w:rPr>
      </w:pPr>
      <w:r>
        <w:rPr>
          <w:rFonts w:ascii="Times New Roman" w:hAnsi="Times New Roman"/>
          <w:sz w:val="24"/>
          <w:szCs w:val="24"/>
        </w:rPr>
        <w:t xml:space="preserve">Красногорский район </w:t>
      </w:r>
    </w:p>
    <w:p w:rsidR="00A84E22" w:rsidRDefault="00A84E22">
      <w:pPr>
        <w:spacing w:after="0"/>
        <w:rPr>
          <w:rFonts w:ascii="Times New Roman" w:hAnsi="Times New Roman"/>
          <w:sz w:val="24"/>
          <w:szCs w:val="24"/>
        </w:rPr>
      </w:pPr>
      <w:r>
        <w:rPr>
          <w:rFonts w:ascii="Times New Roman" w:hAnsi="Times New Roman"/>
          <w:sz w:val="24"/>
          <w:szCs w:val="24"/>
        </w:rPr>
        <w:t>Удмуртской Республики»</w:t>
      </w:r>
    </w:p>
    <w:bookmarkEnd w:id="0"/>
    <w:p w:rsidR="00A84E22" w:rsidRDefault="00A84E22">
      <w:pPr>
        <w:pStyle w:val="ConsPlusNormal"/>
        <w:ind w:firstLine="540"/>
        <w:jc w:val="both"/>
      </w:pPr>
    </w:p>
    <w:p w:rsidR="00A84E22" w:rsidRDefault="00A84E22">
      <w:pPr>
        <w:pStyle w:val="ConsPlusNormal"/>
        <w:ind w:left="5103"/>
        <w:jc w:val="both"/>
      </w:pPr>
    </w:p>
    <w:p w:rsidR="00A84E22" w:rsidRDefault="00A84E22">
      <w:pPr>
        <w:pStyle w:val="ConsPlusNormal"/>
        <w:ind w:left="5103"/>
        <w:jc w:val="both"/>
      </w:pPr>
    </w:p>
    <w:p w:rsidR="00A84E22" w:rsidRDefault="00A84E22">
      <w:pPr>
        <w:pStyle w:val="ConsPlusNormal"/>
        <w:ind w:left="5103"/>
        <w:jc w:val="both"/>
      </w:pPr>
    </w:p>
    <w:p w:rsidR="00A84E22" w:rsidRDefault="00A84E22">
      <w:pPr>
        <w:pStyle w:val="ConsPlusNormal"/>
        <w:ind w:left="5103"/>
        <w:jc w:val="both"/>
      </w:pPr>
    </w:p>
    <w:p w:rsidR="00A84E22" w:rsidRDefault="00A84E22">
      <w:pPr>
        <w:pStyle w:val="ConsPlusNormal"/>
        <w:ind w:left="5103"/>
        <w:jc w:val="both"/>
      </w:pPr>
    </w:p>
    <w:p w:rsidR="00A84E22" w:rsidRDefault="00A84E22">
      <w:pPr>
        <w:pStyle w:val="ConsPlusNormal"/>
        <w:ind w:left="5103"/>
        <w:jc w:val="both"/>
      </w:pPr>
      <w:r>
        <w:lastRenderedPageBreak/>
        <w:t>Приложение № 1</w:t>
      </w:r>
    </w:p>
    <w:p w:rsidR="00A84E22" w:rsidRDefault="00A84E22">
      <w:pPr>
        <w:pStyle w:val="ConsPlusNormal"/>
        <w:ind w:left="5103"/>
        <w:jc w:val="both"/>
      </w:pPr>
      <w:r>
        <w:t>к постановлению Администрации муниципального образования «Муниципальный округ Красногорский район Удмуртской Республики»</w:t>
      </w:r>
    </w:p>
    <w:p w:rsidR="00A84E22" w:rsidRDefault="00A84E22">
      <w:pPr>
        <w:pStyle w:val="ConsPlusNormal"/>
        <w:ind w:left="5103"/>
        <w:jc w:val="both"/>
      </w:pPr>
      <w:r>
        <w:t>от «__» ________ 2024 года № ____</w:t>
      </w:r>
    </w:p>
    <w:p w:rsidR="00A84E22" w:rsidRDefault="00A84E22">
      <w:pPr>
        <w:pStyle w:val="ConsPlusNormal"/>
        <w:ind w:firstLine="540"/>
        <w:jc w:val="both"/>
      </w:pPr>
    </w:p>
    <w:p w:rsidR="00A84E22" w:rsidRDefault="00A84E22">
      <w:pPr>
        <w:pStyle w:val="ConsPlusNormal"/>
        <w:jc w:val="center"/>
        <w:rPr>
          <w:b/>
        </w:rPr>
      </w:pPr>
      <w:r>
        <w:rPr>
          <w:b/>
        </w:rPr>
        <w:t>Порядок</w:t>
      </w:r>
    </w:p>
    <w:p w:rsidR="00A84E22" w:rsidRDefault="00A84E22">
      <w:pPr>
        <w:pStyle w:val="ConsPlusNormal"/>
        <w:jc w:val="center"/>
        <w:rPr>
          <w:b/>
        </w:rPr>
      </w:pPr>
      <w:r>
        <w:rPr>
          <w:b/>
        </w:rPr>
        <w:t>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 а также земельными участками, государственная собственность на которые не разграничена</w:t>
      </w:r>
    </w:p>
    <w:p w:rsidR="00A84E22" w:rsidRDefault="00A84E22">
      <w:pPr>
        <w:pStyle w:val="ConsPlusNormal"/>
        <w:jc w:val="center"/>
      </w:pPr>
    </w:p>
    <w:p w:rsidR="00A84E22" w:rsidRDefault="00A84E22">
      <w:pPr>
        <w:pStyle w:val="ConsPlusNormal"/>
        <w:ind w:firstLine="540"/>
        <w:jc w:val="both"/>
      </w:pPr>
      <w:r>
        <w:t>1. Настоящий Порядок регламентирует размер, порядок и условия 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 а также земельными участками, государственная собственность на которые не разграничена (далее - земельные участки).</w:t>
      </w:r>
    </w:p>
    <w:p w:rsidR="00A84E22" w:rsidRDefault="00A84E22">
      <w:pPr>
        <w:pStyle w:val="ConsPlusNormal"/>
        <w:ind w:firstLine="540"/>
        <w:jc w:val="both"/>
      </w:pPr>
      <w:r>
        <w:t>2. Инвесторы, претендующие на предоставление льготных условий пользования земельными участками, должны соответствовать следующим требованиям:</w:t>
      </w:r>
    </w:p>
    <w:p w:rsidR="00A84E22" w:rsidRDefault="00A84E22">
      <w:pPr>
        <w:pStyle w:val="ConsPlusNormal"/>
        <w:ind w:firstLine="540"/>
        <w:jc w:val="both"/>
      </w:pPr>
      <w:r>
        <w:t>1) отсутствие у инвестора неисполненной обязанности по уплате налогов, сборов, страховых взносов и иных обязательных платежей в бюджеты бюджетной системы Российской Федерации и во внебюджетные фонды (за исключением пени и штрафов, сумм, на которые предоставлена отсрочка, рассрочка, реструктуризация в соответствии с законодательством Российской Федерации о налогах и сборах, а также за исключением задолженности, по которой имеется вступившее в законную силу решение суда о признании обязанности по уплате задолженности исполненной, или задолженности, которая признана безнадежной к взысканию в соответствии с законодательством Российской Федерации);</w:t>
      </w:r>
    </w:p>
    <w:p w:rsidR="00A84E22" w:rsidRDefault="00A84E22">
      <w:pPr>
        <w:pStyle w:val="ConsPlusNormal"/>
        <w:ind w:firstLine="540"/>
        <w:jc w:val="both"/>
      </w:pPr>
      <w:r>
        <w:t>2) отсутствие у инвестора задолженности по выплате заработной платы;</w:t>
      </w:r>
    </w:p>
    <w:p w:rsidR="00A84E22" w:rsidRDefault="00A84E22">
      <w:pPr>
        <w:pStyle w:val="ConsPlusNormal"/>
        <w:ind w:firstLine="540"/>
        <w:jc w:val="both"/>
      </w:pPr>
      <w:r>
        <w:t>3) инвестор не должен находиться в процессе реорганизации, ликвидации (индивидуальные предприниматели не должны прекратить деятельность в качестве индивидуального предпринимателя), в отношении инвестора не введена процедура банкротства, деятельность инвестора не приостановлена в порядке, предусмотренном законодательством Российской Федерации;</w:t>
      </w:r>
    </w:p>
    <w:p w:rsidR="00A84E22" w:rsidRDefault="00A84E22">
      <w:pPr>
        <w:pStyle w:val="ConsPlusNormal"/>
        <w:ind w:firstLine="540"/>
        <w:jc w:val="both"/>
      </w:pPr>
      <w:r>
        <w:t>4) постановка юридического лица (его филиала) и (или) физического лица, являющегося индивидуальным предпринимателем, планирующего реализацию или реализующего инвестиционный проект, на учет в налоговых органах на территории муниципального образования «Муниципальный округ Красногорский район Удмуртской Республики».</w:t>
      </w:r>
    </w:p>
    <w:p w:rsidR="00A84E22" w:rsidRDefault="00A84E22">
      <w:pPr>
        <w:pStyle w:val="ConsPlusNormal"/>
        <w:ind w:firstLine="540"/>
        <w:jc w:val="both"/>
      </w:pPr>
      <w:r>
        <w:t>3. Инвесторам, соответствующим требованиям, указанным в пункте 2 настоящего Порядка, предоставляются льготы по арендной плате за земельные участки, предоставленные в аренду без торгов, в случаях, если они используются для реализации:</w:t>
      </w:r>
    </w:p>
    <w:p w:rsidR="00A84E22" w:rsidRDefault="00A84E22">
      <w:pPr>
        <w:pStyle w:val="ConsPlusNormal"/>
        <w:ind w:firstLine="540"/>
        <w:jc w:val="both"/>
      </w:pPr>
      <w:r>
        <w:t>1) инвестиционных проектов, реализуемых на территории Красногорского района Удмуртской Республики, по которым заключено соглашение о муниципально-частном партнерстве или концессионное соглашение, одной из сторон в которых выступает муниципальное образование «Муниципальный округ Красногорский район Удмуртской Республики» (далее по тексту – муниципальное образование);</w:t>
      </w:r>
    </w:p>
    <w:p w:rsidR="00A84E22" w:rsidRDefault="00A84E22">
      <w:pPr>
        <w:pStyle w:val="ConsPlusNormal"/>
        <w:ind w:firstLine="540"/>
        <w:jc w:val="both"/>
      </w:pPr>
      <w:r>
        <w:t>2) строящийся (реконструируемый) объект в целях размещения объектов социально-культурного и (или) коммунально-бытового назначения на территории Красногорского района соответствует одновременно критериям:</w:t>
      </w:r>
    </w:p>
    <w:p w:rsidR="00A84E22" w:rsidRDefault="00A84E22">
      <w:pPr>
        <w:pStyle w:val="ConsPlusNormal"/>
        <w:ind w:firstLine="1134"/>
        <w:jc w:val="both"/>
      </w:pPr>
      <w:r>
        <w:t>а) соответствует целям и задачам, определенным в документах стратегического планирования муниципального образования;</w:t>
      </w:r>
    </w:p>
    <w:p w:rsidR="00A84E22" w:rsidRDefault="00A84E22">
      <w:pPr>
        <w:pStyle w:val="ConsPlusNormal"/>
        <w:ind w:firstLine="1134"/>
        <w:jc w:val="both"/>
      </w:pPr>
      <w:r>
        <w:t>б) объект является объектом капитального строительства, за исключением объектов, размещаемых на земельных участках общего пользования, которыми могут быть некапитальные строения, сооружения (далее - некапитальные строения);</w:t>
      </w:r>
    </w:p>
    <w:p w:rsidR="00A84E22" w:rsidRDefault="00A84E22">
      <w:pPr>
        <w:pStyle w:val="ConsPlusNormal"/>
        <w:ind w:firstLine="1134"/>
        <w:jc w:val="both"/>
      </w:pPr>
      <w:r>
        <w:t>в) один из видов экономической деятельности по ОКВЭД юридического лица соответствует направлению инвестиционного проекта;</w:t>
      </w:r>
    </w:p>
    <w:p w:rsidR="00A84E22" w:rsidRDefault="00A84E22">
      <w:pPr>
        <w:pStyle w:val="ConsPlusNormal"/>
        <w:ind w:firstLine="1134"/>
        <w:jc w:val="both"/>
      </w:pPr>
      <w:r>
        <w:t>г) инвестор соответствует требованиям, установленным в статье 2 настоящего Порядка;</w:t>
      </w:r>
    </w:p>
    <w:p w:rsidR="00A84E22" w:rsidRDefault="00A84E22">
      <w:pPr>
        <w:pStyle w:val="ConsPlusNormal"/>
        <w:ind w:firstLine="1134"/>
        <w:jc w:val="both"/>
      </w:pPr>
      <w:r>
        <w:t xml:space="preserve">д) реализация инвестиционного проекта повлечет создание не менее 10 новых рабочих </w:t>
      </w:r>
      <w:r>
        <w:lastRenderedPageBreak/>
        <w:t>мест и увеличение ежегодных налоговых поступлений в бюджет муниципального образования.</w:t>
      </w:r>
    </w:p>
    <w:p w:rsidR="00A84E22" w:rsidRDefault="00A84E22">
      <w:pPr>
        <w:pStyle w:val="ConsPlusNormal"/>
        <w:ind w:firstLine="540"/>
        <w:jc w:val="both"/>
      </w:pPr>
      <w:r>
        <w:t>3) строящийся (реконструируемый) объект в рамках реализации масштабного инвестиционного проекта на территории Красногорского района соответствует одновременно критериям:</w:t>
      </w:r>
    </w:p>
    <w:p w:rsidR="00A84E22" w:rsidRDefault="00A84E22">
      <w:pPr>
        <w:pStyle w:val="ConsPlusNormal"/>
        <w:ind w:firstLine="1134"/>
        <w:jc w:val="both"/>
      </w:pPr>
      <w:r>
        <w:t>а) соответствует целям и задачам, определенным в документах стратегического планирования муниципального образования;</w:t>
      </w:r>
    </w:p>
    <w:p w:rsidR="00A84E22" w:rsidRDefault="00A84E22">
      <w:pPr>
        <w:pStyle w:val="ConsPlusNormal"/>
        <w:ind w:firstLine="1134"/>
        <w:jc w:val="both"/>
      </w:pPr>
      <w:r>
        <w:t>б) реализация инвестиционного проекта повлечет создание (расширение) производства товаров, оказания услуг, выполнения работ;</w:t>
      </w:r>
    </w:p>
    <w:p w:rsidR="00A84E22" w:rsidRDefault="00A84E22">
      <w:pPr>
        <w:pStyle w:val="ConsPlusNormal"/>
        <w:ind w:firstLine="1134"/>
        <w:jc w:val="both"/>
      </w:pPr>
      <w:r>
        <w:t>в) инвестиционный проект направлен на извлечение прибыли и содержит все стадии реализации проекта (предынвестиционную, инвестиционную и стадию эксплуатации (эксплуатационная стадия));</w:t>
      </w:r>
    </w:p>
    <w:p w:rsidR="00A84E22" w:rsidRDefault="00A84E22">
      <w:pPr>
        <w:pStyle w:val="ConsPlusNormal"/>
        <w:ind w:firstLine="1134"/>
        <w:jc w:val="both"/>
      </w:pPr>
      <w:r>
        <w:t xml:space="preserve">г) инвестиционный проект повлечет создание не менее 15 новых рабочих мест, за исключением инвестиционных проектов по виду экономической деятельности </w:t>
      </w:r>
      <w:hyperlink r:id="rId8">
        <w:r>
          <w:t>раздела А</w:t>
        </w:r>
      </w:hyperlink>
      <w:r>
        <w:t xml:space="preserve"> «Сельское, лесное хозяйство, охота, рыболовство и рыбоводство»;</w:t>
      </w:r>
    </w:p>
    <w:p w:rsidR="00A84E22" w:rsidRDefault="00A84E22">
      <w:pPr>
        <w:pStyle w:val="ConsPlusNormal"/>
        <w:ind w:firstLine="1134"/>
        <w:jc w:val="both"/>
      </w:pPr>
      <w:r>
        <w:t>д) инвестиционный проект не направлен на следующие цели:</w:t>
      </w:r>
    </w:p>
    <w:p w:rsidR="00A84E22" w:rsidRDefault="00A84E22">
      <w:pPr>
        <w:pStyle w:val="ConsPlusNormal"/>
        <w:ind w:firstLine="1701"/>
        <w:jc w:val="both"/>
      </w:pPr>
      <w:r>
        <w:t>- добыча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A84E22" w:rsidRDefault="00A84E22">
      <w:pPr>
        <w:pStyle w:val="ConsPlusNormal"/>
        <w:ind w:firstLine="1701"/>
        <w:jc w:val="both"/>
      </w:pPr>
      <w:r>
        <w:t>- производство подакцизных товаров (за исключением легковых автомобилей, мотоциклов, автомобильного бензина, дизельного топлива, моторных масел для дизельных и (или) карбюраторных (инжекторных) двигателей, прямогонного бензина, средних дистиллятов, бензола, параксилола, ортоксилола, авиационного керосина, природного газа);</w:t>
      </w:r>
    </w:p>
    <w:p w:rsidR="00A84E22" w:rsidRDefault="00A84E22">
      <w:pPr>
        <w:pStyle w:val="ConsPlusNormal"/>
        <w:ind w:firstLine="1701"/>
        <w:jc w:val="both"/>
      </w:pPr>
      <w:r>
        <w:t>- развитие оптовой и розничной торговли (за исключением оказания услуг по реализации газа);</w:t>
      </w:r>
    </w:p>
    <w:p w:rsidR="00A84E22" w:rsidRDefault="00A84E22">
      <w:pPr>
        <w:pStyle w:val="ConsPlusNormal"/>
        <w:ind w:firstLine="1134"/>
        <w:jc w:val="both"/>
      </w:pPr>
      <w:r>
        <w:t>е) реализация инвестиционного проекта повлечет увеличение ежегодных налоговых поступлений в консолидированный бюджет муниципального образования от деятельности, заявленной в инвестиционном проекте;</w:t>
      </w:r>
    </w:p>
    <w:p w:rsidR="00A84E22" w:rsidRDefault="00A84E22">
      <w:pPr>
        <w:pStyle w:val="ConsPlusNormal"/>
        <w:ind w:firstLine="1134"/>
        <w:jc w:val="both"/>
      </w:pPr>
      <w:r>
        <w:t xml:space="preserve">ё) один из видов экономической деятельности юридического лица по </w:t>
      </w:r>
      <w:hyperlink r:id="rId9">
        <w:r>
          <w:t>ОКВЭД</w:t>
        </w:r>
      </w:hyperlink>
      <w:r>
        <w:t xml:space="preserve"> соответствует направлению инвестиционного проекта;</w:t>
      </w:r>
    </w:p>
    <w:p w:rsidR="00A84E22" w:rsidRDefault="00A84E22">
      <w:pPr>
        <w:pStyle w:val="ConsPlusNormal"/>
        <w:ind w:firstLine="1134"/>
        <w:jc w:val="both"/>
      </w:pPr>
      <w:r>
        <w:t xml:space="preserve">ж) суммарный объем капитальных вложений в рамках реализации инвестиционного проекта составляет не менее размера, установленного настоящим пунктом, с учетом вида экономической деятельности по </w:t>
      </w:r>
      <w:hyperlink r:id="rId10">
        <w:r>
          <w:t>ОКВЭД</w:t>
        </w:r>
      </w:hyperlink>
      <w:r>
        <w:t>, указанного в инвестиционном проекте:</w:t>
      </w:r>
    </w:p>
    <w:p w:rsidR="00A84E22" w:rsidRDefault="00A84E22">
      <w:pPr>
        <w:pStyle w:val="ConsPlusNormal"/>
        <w:ind w:firstLine="1701"/>
        <w:jc w:val="both"/>
      </w:pPr>
      <w:r>
        <w:t xml:space="preserve">- для инвестиционных проектов по видам экономической деятельности </w:t>
      </w:r>
      <w:hyperlink r:id="rId11">
        <w:r>
          <w:t>классов 10</w:t>
        </w:r>
      </w:hyperlink>
      <w:r>
        <w:t xml:space="preserve"> «Производство пищевых продуктов» и </w:t>
      </w:r>
      <w:hyperlink r:id="rId12">
        <w:r>
          <w:t>11</w:t>
        </w:r>
      </w:hyperlink>
      <w:r>
        <w:t xml:space="preserve"> «Производство напитков» раздела С «Обрабатывающие производства» – 10 млн. руб. при условии осуществления капитальных вложений в срок, не превышающий трех лет с даты принятия решения о предоставлении земельного участка в аренду без проведения торгов;</w:t>
      </w:r>
    </w:p>
    <w:p w:rsidR="00A84E22" w:rsidRDefault="00A84E22">
      <w:pPr>
        <w:pStyle w:val="ConsPlusNormal"/>
        <w:ind w:firstLine="1701"/>
        <w:jc w:val="both"/>
      </w:pPr>
      <w:r>
        <w:t xml:space="preserve">- для инвестиционных проектов по виду экономической деятельности </w:t>
      </w:r>
      <w:hyperlink r:id="rId13">
        <w:r>
          <w:t>раздела А</w:t>
        </w:r>
      </w:hyperlink>
      <w:r>
        <w:t xml:space="preserve"> «Сельское, лесное хозяйство, охота, рыболовство и рыбоводство» – 3 млн. рублей при условии осуществления капитальных вложений в срок, не превышающий трех лет с даты принятия решения о предоставлении земельного участка в аренду без проведения торгов;</w:t>
      </w:r>
    </w:p>
    <w:p w:rsidR="00A84E22" w:rsidRDefault="00A84E22">
      <w:pPr>
        <w:pStyle w:val="ConsPlusNormal"/>
        <w:ind w:firstLine="1701"/>
        <w:jc w:val="both"/>
      </w:pPr>
      <w:r>
        <w:t>- для инвестиционных проектов по иным видам экономической деятельности - 10 млн. руб. при условии осуществления капитальных вложений в срок, не превышающий трех лет с даты принятия решения о предоставлении земельного участка в аренду без проведения торгов;</w:t>
      </w:r>
    </w:p>
    <w:p w:rsidR="00A84E22" w:rsidRDefault="00A84E22">
      <w:pPr>
        <w:pStyle w:val="ConsPlusNormal"/>
        <w:ind w:firstLine="1134"/>
        <w:jc w:val="both"/>
      </w:pPr>
      <w:r>
        <w:t>з) инвестор соответствует требованиям, установленным в пункте 2 настоящего Порядка.</w:t>
      </w:r>
    </w:p>
    <w:p w:rsidR="00A84E22" w:rsidRDefault="00A84E22">
      <w:pPr>
        <w:pStyle w:val="ConsPlusNormal"/>
        <w:ind w:firstLine="540"/>
        <w:jc w:val="both"/>
      </w:pPr>
      <w:r>
        <w:t>4. Льготные условия пользования земельным участком предоставляются инвестору со дня принятия решения о предоставлении льготных условий пользования земельным участком до дня получения инвестором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но не более чем на 5 лет.</w:t>
      </w:r>
    </w:p>
    <w:p w:rsidR="00A84E22" w:rsidRDefault="00A84E22">
      <w:pPr>
        <w:pStyle w:val="ConsPlusNormal"/>
        <w:ind w:firstLine="540"/>
        <w:jc w:val="both"/>
      </w:pPr>
      <w:r>
        <w:t>Льготные условия пользования земельным участком предоставляются инвестору:</w:t>
      </w:r>
    </w:p>
    <w:p w:rsidR="00A84E22" w:rsidRDefault="00A84E22">
      <w:pPr>
        <w:pStyle w:val="ConsPlusNormal"/>
        <w:ind w:firstLine="540"/>
        <w:jc w:val="both"/>
      </w:pPr>
      <w:r>
        <w:t>1) в рамках реализации инвестиционных проектов, предусмотренных подпунктами 1)-2) пункта 3 настоящего Порядка в форме установления величины годовой арендной платы в размере 75 процентов от величины годовой арендной платы, определенной в соответствии с законодательством Российской Федерации и законодательством Удмуртской Республики;</w:t>
      </w:r>
    </w:p>
    <w:p w:rsidR="00A84E22" w:rsidRDefault="00A84E22">
      <w:pPr>
        <w:pStyle w:val="ConsPlusNormal"/>
        <w:ind w:firstLine="540"/>
        <w:jc w:val="both"/>
      </w:pPr>
      <w:r>
        <w:t>2) в рамках реализации инвестиционных проектов, предусмотренных подпунктом 3) пункта 3 настоящего Порядка, в форме установления величины годовой арендной платы:</w:t>
      </w:r>
    </w:p>
    <w:p w:rsidR="00A84E22" w:rsidRDefault="00A84E22">
      <w:pPr>
        <w:pStyle w:val="ConsPlusNormal"/>
        <w:ind w:firstLine="540"/>
        <w:jc w:val="both"/>
      </w:pPr>
      <w:r>
        <w:t>- в первые 3 года – в размере 1 рубля;</w:t>
      </w:r>
    </w:p>
    <w:p w:rsidR="00A84E22" w:rsidRDefault="00A84E22">
      <w:pPr>
        <w:pStyle w:val="ConsPlusNormal"/>
        <w:ind w:firstLine="540"/>
        <w:jc w:val="both"/>
      </w:pPr>
      <w:r>
        <w:t xml:space="preserve">- в последующие 2 года – в размере 75 процентов от величины годовой арендной платы, </w:t>
      </w:r>
      <w:r>
        <w:lastRenderedPageBreak/>
        <w:t>определенной в соответствии с законодательством Российской Федерации и законодательством Удмуртской Республики.</w:t>
      </w:r>
    </w:p>
    <w:p w:rsidR="00A84E22" w:rsidRDefault="00A84E22">
      <w:pPr>
        <w:pStyle w:val="ConsPlusNormal"/>
        <w:ind w:firstLine="540"/>
        <w:jc w:val="both"/>
      </w:pPr>
      <w:r>
        <w:t>5. В целях принятия решения о предоставлении льготных условий пользования земельным участком инвестор, являющийся арендатором земельного участка (далее - заявитель), представляет в Администрацию муниципального образования «Муниципальный округ Красногорский район Удмуртской Республики» (далее - Администрация):</w:t>
      </w:r>
    </w:p>
    <w:p w:rsidR="00A84E22" w:rsidRDefault="00A84E22">
      <w:pPr>
        <w:pStyle w:val="ConsPlusNormal"/>
        <w:ind w:firstLine="540"/>
        <w:jc w:val="both"/>
      </w:pPr>
      <w:r>
        <w:t>- заявление о предоставлении льготных условий пользования земельным участком по форме согласно приложению к настоящему Порядку (далее - заявка), подписанное руководителем или иным уполномоченным лицом заявителя и скрепленное печатью заявителя (при ее наличии);</w:t>
      </w:r>
    </w:p>
    <w:p w:rsidR="00A84E22" w:rsidRDefault="00A84E22">
      <w:pPr>
        <w:pStyle w:val="ConsPlusNormal"/>
        <w:ind w:firstLine="540"/>
        <w:jc w:val="both"/>
      </w:pPr>
      <w:r>
        <w:t>- копию договора аренды земельного участка, подписанную руководителем заявителя и скрепленную печатью заявителя (при ее наличии);</w:t>
      </w:r>
    </w:p>
    <w:p w:rsidR="00A84E22" w:rsidRDefault="00A84E22">
      <w:pPr>
        <w:pStyle w:val="ConsPlusNormal"/>
        <w:ind w:firstLine="540"/>
        <w:jc w:val="both"/>
      </w:pPr>
      <w:r>
        <w:t>- справку об отсутствии задолженности по выплате заработной платы по состоянию на первое число месяца, в котором подается заявка, подписанную руководителем заявителя и скрепленную печатью заявителя (при ее наличии).</w:t>
      </w:r>
    </w:p>
    <w:p w:rsidR="00A84E22" w:rsidRDefault="00A84E22">
      <w:pPr>
        <w:pStyle w:val="ConsPlusNormal"/>
        <w:ind w:firstLine="540"/>
        <w:jc w:val="both"/>
      </w:pPr>
      <w:r>
        <w:t>6. Для принятия решения о предоставлении льготных условий пользования земельным участком заявитель по собственной инициативе вправе приложить к заявке:</w:t>
      </w:r>
    </w:p>
    <w:p w:rsidR="00A84E22" w:rsidRDefault="00A84E22">
      <w:pPr>
        <w:pStyle w:val="ConsPlusNormal"/>
        <w:ind w:firstLine="540"/>
        <w:jc w:val="both"/>
      </w:pPr>
      <w:r>
        <w:t>- справку налогового органа об отсутствии задолженности по уплате налогов, сборов и иных платежей, выданную не ранее чем за тридцать календарных дней до дня подачи заявления.</w:t>
      </w:r>
    </w:p>
    <w:p w:rsidR="00A84E22" w:rsidRDefault="00A84E22">
      <w:pPr>
        <w:pStyle w:val="ConsPlusNormal"/>
        <w:ind w:firstLine="540"/>
        <w:jc w:val="both"/>
      </w:pPr>
      <w:r>
        <w:t>7. Администрация в течение десяти рабочих дней с даты поступления заявки рассматривает документы, указанные в пунктах 5 и 6 настоящего Порядка, принимает решение о предоставлении или об отказе в предоставлении заявителю льготных условий пользования земельным участком и информирует заявителя о принятом решении в письменной форме (в случае отказа - с указанием причин отказа).</w:t>
      </w:r>
    </w:p>
    <w:p w:rsidR="00A84E22" w:rsidRDefault="00A84E22">
      <w:pPr>
        <w:pStyle w:val="ConsPlusNormal"/>
        <w:ind w:firstLine="540"/>
        <w:jc w:val="both"/>
      </w:pPr>
      <w:r>
        <w:t>Решение о предоставлении инвестору льготных условий пользования земельным участком принимается в форме постановления Администрации.</w:t>
      </w:r>
    </w:p>
    <w:p w:rsidR="00A84E22" w:rsidRDefault="00A84E22">
      <w:pPr>
        <w:pStyle w:val="ConsPlusNormal"/>
        <w:ind w:firstLine="540"/>
        <w:jc w:val="both"/>
      </w:pPr>
      <w:r>
        <w:t>Решение об отказе в предоставлении инвестору льготных условий пользования земельным участком оформляется письмом Администрации.</w:t>
      </w:r>
    </w:p>
    <w:p w:rsidR="00A84E22" w:rsidRDefault="00A84E22">
      <w:pPr>
        <w:pStyle w:val="ConsPlusNormal"/>
        <w:ind w:firstLine="540"/>
        <w:jc w:val="both"/>
      </w:pPr>
      <w:r>
        <w:t>8. Основанием для принятия решения об отказе в предоставлении льготных условий пользования земельным участком является:</w:t>
      </w:r>
    </w:p>
    <w:p w:rsidR="00A84E22" w:rsidRDefault="00A84E22">
      <w:pPr>
        <w:pStyle w:val="ConsPlusNormal"/>
        <w:ind w:firstLine="540"/>
        <w:jc w:val="both"/>
      </w:pPr>
      <w:r>
        <w:t>- несоответствие заявителя требованиям, указанным в пункте 2 настоящего Порядка;</w:t>
      </w:r>
    </w:p>
    <w:p w:rsidR="00A84E22" w:rsidRDefault="00A84E22">
      <w:pPr>
        <w:pStyle w:val="ConsPlusNormal"/>
        <w:ind w:firstLine="540"/>
        <w:jc w:val="both"/>
      </w:pPr>
      <w:r>
        <w:t>- несоответствие использования земельного участка случаям, установленным пунктом 3 настоящего Порядка.</w:t>
      </w:r>
    </w:p>
    <w:p w:rsidR="00A84E22" w:rsidRDefault="00A84E22">
      <w:pPr>
        <w:pStyle w:val="ConsPlusNormal"/>
        <w:ind w:firstLine="540"/>
        <w:jc w:val="both"/>
      </w:pPr>
      <w:r>
        <w:t>Для оценки соответствия заявителя требованиям, указанным в пункте 2 настоящего Порядка, в случае, если заявителем по собственной инициативе не представлен документ, указанный в пункте 6 настоящего Порядка, Администрация самостоятельно получает справку налогового органа об исполнении инвестором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представления заявления.</w:t>
      </w:r>
    </w:p>
    <w:p w:rsidR="00A84E22" w:rsidRDefault="00A84E2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rPr>
        <w:t xml:space="preserve">9. </w:t>
      </w:r>
      <w:r>
        <w:rPr>
          <w:rFonts w:ascii="Times New Roman" w:hAnsi="Times New Roman"/>
          <w:sz w:val="24"/>
          <w:szCs w:val="24"/>
        </w:rPr>
        <w:t>В случае принятия решения о предоставлении льготных условий пользования земельным участком Администрация, являющаяся арендодателем по договору аренды земельного участка (далее - Арендодатель), не позднее двух рабочих дней с даты его принятия заключает дополнительное соглашение к договору аренды земельного участка, предусматривающего:</w:t>
      </w:r>
    </w:p>
    <w:p w:rsidR="00A84E22" w:rsidRDefault="00A84E22">
      <w:pPr>
        <w:pStyle w:val="ConsPlusNormal"/>
        <w:ind w:firstLine="540"/>
        <w:jc w:val="both"/>
      </w:pPr>
      <w:r>
        <w:t>- величину годовой арендной платы по договору в соответствии с пунктом 3 настоящего Порядка;</w:t>
      </w:r>
    </w:p>
    <w:p w:rsidR="00A84E22" w:rsidRDefault="00A84E22">
      <w:pPr>
        <w:pStyle w:val="ConsPlusNormal"/>
        <w:ind w:firstLine="540"/>
        <w:jc w:val="both"/>
      </w:pPr>
      <w:r>
        <w:t>- обязательство Арендатора по уплате арендной платы, недополученной Арендодателем в связи с предоставлением льготных условий пользования земельным участком за весь срок предоставления льготных условий, в случаях, предусмотренных пунктом 13 настоящего Порядка. Право на предоставление льготных условий пользования земельным участком возникает у инвестора с даты принятия Администрацией решения о предоставлении инвестору льготных условий пользования земельным участком, что является основанием для перерасчета арендной платы за период с даты принятия решения о предоставлении инвестору льготных условий пользования земельным участком до даты государственной регистрации дополнительного соглашения к договору аренды земельного участка (в случаях, когда государственная регистрация договоров аренды земельных участков не требуется, - до даты подписания сторонами дополнительного соглашения к договору аренды).</w:t>
      </w:r>
    </w:p>
    <w:p w:rsidR="00A84E22" w:rsidRDefault="00A84E22">
      <w:pPr>
        <w:pStyle w:val="ConsPlusNormal"/>
        <w:ind w:firstLine="540"/>
        <w:jc w:val="both"/>
      </w:pPr>
      <w:r>
        <w:t xml:space="preserve">10. Копия дополнительного соглашения к договору аренды земельного участка, содержащего льготные условия пользования земельным участком, направляется Арендодателем в отдел планово – экономической работы Администрации муниципального образования «Муниципальный округ </w:t>
      </w:r>
      <w:r>
        <w:lastRenderedPageBreak/>
        <w:t>Красногорский район Удмуртской Республики» для учета в ходе сопровождения реализации инвестиционного проекта.</w:t>
      </w:r>
    </w:p>
    <w:p w:rsidR="00A84E22" w:rsidRDefault="00A84E22">
      <w:pPr>
        <w:pStyle w:val="ConsPlusNormal"/>
        <w:ind w:firstLine="540"/>
        <w:jc w:val="both"/>
      </w:pPr>
      <w:r>
        <w:t>11. Мониторинг за реализацией инвестиционного проекта, а также мониторинг получения инвестором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и мониторинг наступления оснований для утраты инвестором права на льготные условия пользования земельным участком, предусмотренных в подпунктах 1 - 2 пункта 14 настоящего Порядка, осуществляются отделом планово – экономической работы Администрации муниципального образования «Муниципальный округ Красногорский район Удмуртской Республики», осуществляющим сопровождение инвестиционного проекта.</w:t>
      </w:r>
    </w:p>
    <w:p w:rsidR="00A84E22" w:rsidRDefault="00A84E22">
      <w:pPr>
        <w:pStyle w:val="ConsPlusNormal"/>
        <w:ind w:firstLine="540"/>
        <w:jc w:val="both"/>
      </w:pPr>
      <w:r>
        <w:t>12. Инвестор, являющийся арендатором земельного участка, утрачивает право на льготные условия пользования земельным участком со дня получения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что является основанием для перерасчета арендной платы с даты получения разрешения на ввод в эксплуатацию объекта инвестиционной деятельности.</w:t>
      </w:r>
    </w:p>
    <w:p w:rsidR="00A84E22" w:rsidRDefault="00A84E22">
      <w:pPr>
        <w:pStyle w:val="ConsPlusNormal"/>
        <w:ind w:firstLine="540"/>
        <w:jc w:val="both"/>
      </w:pPr>
      <w:r>
        <w:t>13. При получении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инвестор в течение двух рабочих дней уведомляет об этом в письменной форме отдел по имущественным вопросам Администрации муниципального образования «Муниципальный округ Красногорский район Удмуртской Республики» и отдел планово – экономической работы Администрации муниципального образования «Муниципальный округ Красногорский район Удмуртской Республики», осуществляющий сопровождение инвестиционного проекта.</w:t>
      </w:r>
    </w:p>
    <w:p w:rsidR="00A84E22" w:rsidRDefault="00A84E22">
      <w:pPr>
        <w:pStyle w:val="ConsPlusNormal"/>
        <w:ind w:firstLine="540"/>
        <w:jc w:val="both"/>
      </w:pPr>
      <w:r>
        <w:t>В течение пяти рабочих дней со дня получения уведомления от инвестора в соответствии с пунктом 12 настоящего Порядка и (или) информации о получении инвестором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 отдел по имущественным вопросам Администрации муниципального образования «Муниципальный округ Красногорский район Удмуртской Республики» направляет инвестору, являющемуся арендатором земельного участка, уведомление об утрате инвестором права на льготные условия пользования земельным участком с указанием основания для утраты права и об изменении величины годовой арендной платы по договору аренды земельного участка путем установления ее в размере, определенном в соответствии с законодательством Российской Федерации и законодательством Удмуртской Республики без учета льготных условий пользования земельным участком, со дня получения разрешения на ввод в эксплуатацию объекта инвестиционной деятельности, для строительства (реконструкции) которого предоставлен в аренду земельный участок.</w:t>
      </w:r>
    </w:p>
    <w:p w:rsidR="00A84E22" w:rsidRDefault="00A84E22">
      <w:pPr>
        <w:pStyle w:val="ConsPlusNormal"/>
        <w:ind w:firstLine="540"/>
        <w:jc w:val="both"/>
      </w:pPr>
      <w:r>
        <w:t>14. Помимо случая, указанного в пункте 12 настоящего Порядка, основаниями для утраты инвестором, являющимся арендатором земельного участка, права на льготные условия пользования земельным участком являются:</w:t>
      </w:r>
    </w:p>
    <w:p w:rsidR="00A84E22" w:rsidRDefault="00A84E22">
      <w:pPr>
        <w:pStyle w:val="ConsPlusNormal"/>
        <w:ind w:firstLine="540"/>
        <w:jc w:val="both"/>
        <w:rPr>
          <w:color w:val="FF0000"/>
        </w:rPr>
      </w:pPr>
      <w:r>
        <w:t xml:space="preserve">1) неполучение инвестором разрешения на ввод в эксплуатацию объекта инвестиционной деятельности в течение 5 лет со дня принятия решения о предоставлении инвестору льготных условий пользования земельным участком. </w:t>
      </w:r>
    </w:p>
    <w:p w:rsidR="00A84E22" w:rsidRDefault="00A84E22">
      <w:pPr>
        <w:pStyle w:val="ConsPlusNormal"/>
        <w:ind w:firstLine="540"/>
        <w:jc w:val="both"/>
      </w:pPr>
      <w:r>
        <w:t>2) досрочное расторжение договора аренды земельного участка в порядке и в случаях, предусмотренных законодательством Российской Федерации и законодательством Удмуртской Республики.</w:t>
      </w:r>
    </w:p>
    <w:p w:rsidR="00A84E22" w:rsidRDefault="00A84E22">
      <w:pPr>
        <w:pStyle w:val="ConsPlusNormal"/>
        <w:ind w:firstLine="540"/>
        <w:jc w:val="both"/>
      </w:pPr>
      <w:r>
        <w:t>15. Арендодатель в течение пяти рабочих дней со дня получения сведений о наступлении одного из оснований утраты инвестором права на льготные условия пользования земельным участком, предусмотренных пунктом 14 настоящего Порядка, направляет инвестору, являющемуся арендатором земельного участка, уведомление об утрате инвестором права на льготные условия пользования земельным участком с указанием основания для утраты права и об изменении величины годовой арендной платы по договору аренды земельного участка путем установления ее в размере, определенном в соответствии с законодательством Российской Федерации и законодательством Удмуртской Республики без учета льготных условий пользования земельным участком, с даты принятия Администрацией решения о предоставлении инвестору льготных условий пользования земельным участком, указанного в пункте 6 настоящего Порядка.</w:t>
      </w:r>
    </w:p>
    <w:p w:rsidR="00A84E22" w:rsidRDefault="00A84E22">
      <w:pPr>
        <w:pStyle w:val="ConsPlusNormal"/>
        <w:ind w:left="4962"/>
        <w:jc w:val="both"/>
      </w:pPr>
      <w:r>
        <w:rPr>
          <w:highlight w:val="yellow"/>
        </w:rPr>
        <w:br w:type="page"/>
      </w:r>
      <w:r>
        <w:lastRenderedPageBreak/>
        <w:t>Приложение</w:t>
      </w:r>
    </w:p>
    <w:p w:rsidR="00A84E22" w:rsidRDefault="00A84E22">
      <w:pPr>
        <w:pStyle w:val="ConsPlusNormal"/>
        <w:ind w:left="4962"/>
        <w:jc w:val="both"/>
      </w:pPr>
      <w:r>
        <w:t>к Порядку предоставления инвесторам льготных условий пользования земельными участками, находящимися в собственности муниципального образования «Муниципальный округ Красногорский район Удмуртской Республики», а также земельными участками, государственная собственность на которые не разграничена</w:t>
      </w:r>
    </w:p>
    <w:p w:rsidR="00A84E22" w:rsidRDefault="00A84E22">
      <w:pPr>
        <w:pStyle w:val="ConsPlusNormal"/>
        <w:ind w:firstLine="540"/>
        <w:jc w:val="both"/>
      </w:pPr>
    </w:p>
    <w:p w:rsidR="00A84E22" w:rsidRDefault="00A84E22">
      <w:pPr>
        <w:pStyle w:val="ConsPlusNormal"/>
        <w:ind w:left="4962"/>
        <w:jc w:val="both"/>
      </w:pPr>
      <w:r>
        <w:t>Главе муниципального образования «Муниципальный округ Красногорский район Удмуртской Республики»</w:t>
      </w:r>
    </w:p>
    <w:p w:rsidR="00A84E22" w:rsidRDefault="00A84E22">
      <w:pPr>
        <w:pStyle w:val="ConsPlusNormal"/>
        <w:ind w:left="4962"/>
        <w:jc w:val="both"/>
      </w:pPr>
      <w:r>
        <w:t>______________________________________________</w:t>
      </w:r>
    </w:p>
    <w:p w:rsidR="00A84E22" w:rsidRDefault="00A84E22">
      <w:pPr>
        <w:pStyle w:val="ConsPlusNormal"/>
        <w:ind w:left="4962"/>
        <w:jc w:val="both"/>
      </w:pPr>
    </w:p>
    <w:p w:rsidR="00A84E22" w:rsidRDefault="00A84E22">
      <w:pPr>
        <w:pStyle w:val="ConsPlusNormal"/>
        <w:ind w:firstLine="540"/>
        <w:jc w:val="both"/>
      </w:pPr>
    </w:p>
    <w:p w:rsidR="00A84E22" w:rsidRDefault="00A84E22">
      <w:pPr>
        <w:pStyle w:val="ConsPlusNormal"/>
        <w:jc w:val="center"/>
      </w:pPr>
      <w:r>
        <w:t>ЗАЯВЛЕНИЕ</w:t>
      </w:r>
    </w:p>
    <w:p w:rsidR="00A84E22" w:rsidRDefault="00A84E22">
      <w:pPr>
        <w:pStyle w:val="ConsPlusNormal"/>
        <w:jc w:val="center"/>
      </w:pPr>
      <w:r>
        <w:t>о предоставлении льготных условий пользования земельным участком.</w:t>
      </w:r>
    </w:p>
    <w:p w:rsidR="00A84E22" w:rsidRDefault="00A84E22">
      <w:pPr>
        <w:pStyle w:val="ConsPlusNormal"/>
      </w:pPr>
    </w:p>
    <w:p w:rsidR="00A84E22" w:rsidRDefault="00A84E22">
      <w:pPr>
        <w:pStyle w:val="ConsPlusNormal"/>
        <w:numPr>
          <w:ilvl w:val="0"/>
          <w:numId w:val="1"/>
        </w:numPr>
        <w:ind w:left="0" w:firstLine="0"/>
      </w:pPr>
      <w:r>
        <w:t>________________________________________________________________________________.</w:t>
      </w:r>
    </w:p>
    <w:p w:rsidR="00A84E22" w:rsidRDefault="00A84E22">
      <w:pPr>
        <w:pStyle w:val="ConsPlusNormal"/>
        <w:jc w:val="center"/>
        <w:rPr>
          <w:sz w:val="22"/>
          <w:szCs w:val="22"/>
          <w:vertAlign w:val="superscript"/>
        </w:rPr>
      </w:pPr>
      <w:r>
        <w:rPr>
          <w:sz w:val="22"/>
          <w:szCs w:val="22"/>
          <w:vertAlign w:val="superscript"/>
        </w:rPr>
        <w:t>(полное наименование организации с указанием ее организационно-правовой формы и местонахождения или Ф.И.О. индивидуального предпринимателя)</w:t>
      </w:r>
    </w:p>
    <w:p w:rsidR="00A84E22" w:rsidRDefault="00A84E22">
      <w:pPr>
        <w:pStyle w:val="ConsPlusNormal"/>
        <w:jc w:val="both"/>
      </w:pPr>
      <w:r>
        <w:t>2. Общие сведения об инвестиционном проекте (далее - Проект):</w:t>
      </w:r>
    </w:p>
    <w:p w:rsidR="00A84E22" w:rsidRDefault="00A84E22">
      <w:pPr>
        <w:pStyle w:val="ConsPlusNormal"/>
        <w:jc w:val="both"/>
      </w:pPr>
      <w:r>
        <w:t>2.1. Наименование Проекта __________________________________________________________.</w:t>
      </w:r>
    </w:p>
    <w:p w:rsidR="00A84E22" w:rsidRDefault="00A84E22">
      <w:pPr>
        <w:pStyle w:val="ConsPlusNormal"/>
        <w:jc w:val="both"/>
      </w:pPr>
      <w:r>
        <w:t xml:space="preserve">2.2. Цель Проекта ___________________________________________________________________ _______________________________________________________________________________________ ______________________________________________________________________________________. </w:t>
      </w:r>
    </w:p>
    <w:p w:rsidR="00A84E22" w:rsidRDefault="00A84E22">
      <w:pPr>
        <w:pStyle w:val="ConsPlusNormal"/>
        <w:jc w:val="both"/>
      </w:pPr>
      <w:r>
        <w:t>2.3. Кадастровый номер земельного участка для реализации инвестиционного проекта _____________ по договору аренды земельного участка от «__» __________ 20__ года № ____.</w:t>
      </w:r>
    </w:p>
    <w:p w:rsidR="00A84E22" w:rsidRDefault="00A84E22">
      <w:pPr>
        <w:pStyle w:val="ConsPlusNormal"/>
        <w:jc w:val="both"/>
      </w:pPr>
      <w:r>
        <w:t>3. Обоснование необходимости использования арендуемого земельного участка для реализации Проекта: 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____________________________________________________________________________________________________________________________________________________________________________________________________________________________________________________________________.Настоящим заявлением подтверждаю, что на момент подачи заявления:</w:t>
      </w:r>
    </w:p>
    <w:p w:rsidR="00A84E22" w:rsidRDefault="00A84E22">
      <w:pPr>
        <w:pStyle w:val="ConsPlusNormal"/>
        <w:jc w:val="both"/>
      </w:pPr>
      <w:r>
        <w:t xml:space="preserve"> </w:t>
      </w:r>
      <w:r>
        <w:tab/>
        <w:t>в отношении заявителя не осуществляется приостановление деятельности в порядке, установленном Кодексом Российской Федерации об административных правонарушениях, организация не находится в процессе ликвидации, отсутствует вступившее в силу решение суда о признании организации/индивидуального предпринимателя банкротом;</w:t>
      </w:r>
    </w:p>
    <w:p w:rsidR="00A84E22" w:rsidRDefault="00A84E22">
      <w:pPr>
        <w:pStyle w:val="ConsPlusNormal"/>
        <w:ind w:firstLine="567"/>
        <w:jc w:val="both"/>
      </w:pPr>
      <w:r>
        <w:t>у заявителя отсутствует задолженность по выплате заработной платы;</w:t>
      </w:r>
    </w:p>
    <w:p w:rsidR="00A84E22" w:rsidRDefault="00A84E22">
      <w:pPr>
        <w:pStyle w:val="ConsPlusNormal"/>
        <w:ind w:firstLine="567"/>
        <w:jc w:val="both"/>
      </w:pPr>
      <w:r>
        <w:t>заявитель зарегистрирован и осуществляет свою деятельность на территории муниципального образования «Муниципальный округ Красногорский район Удмуртской Республики».</w:t>
      </w:r>
    </w:p>
    <w:p w:rsidR="00A84E22" w:rsidRDefault="00A84E22">
      <w:pPr>
        <w:pStyle w:val="ConsPlusNormal"/>
        <w:ind w:firstLine="567"/>
        <w:jc w:val="both"/>
      </w:pPr>
    </w:p>
    <w:p w:rsidR="00A84E22" w:rsidRDefault="00A84E22">
      <w:pPr>
        <w:pStyle w:val="ConsPlusNormal"/>
        <w:ind w:firstLine="567"/>
        <w:jc w:val="both"/>
      </w:pPr>
    </w:p>
    <w:p w:rsidR="00A84E22" w:rsidRDefault="00A84E22">
      <w:pPr>
        <w:pStyle w:val="ConsPlusNormal"/>
        <w:ind w:firstLine="567"/>
        <w:jc w:val="both"/>
      </w:pPr>
      <w:r>
        <w:t>Руководитель       ______________ ____________________________</w:t>
      </w:r>
    </w:p>
    <w:p w:rsidR="00A84E22" w:rsidRDefault="00A84E22">
      <w:pPr>
        <w:pStyle w:val="ConsPlusNormal"/>
        <w:ind w:firstLine="567"/>
        <w:jc w:val="both"/>
      </w:pPr>
      <w:r>
        <w:t xml:space="preserve">организации            </w:t>
      </w:r>
      <w:r>
        <w:rPr>
          <w:vertAlign w:val="superscript"/>
        </w:rPr>
        <w:t>(подпись)</w:t>
      </w:r>
      <w:r>
        <w:t xml:space="preserve">         </w:t>
      </w:r>
      <w:r>
        <w:rPr>
          <w:vertAlign w:val="superscript"/>
        </w:rPr>
        <w:t>(Ф.И.О.) /индивидуальный предприниматель</w:t>
      </w:r>
    </w:p>
    <w:p w:rsidR="00A84E22" w:rsidRDefault="00A84E22">
      <w:pPr>
        <w:pStyle w:val="ConsPlusNormal"/>
        <w:ind w:firstLine="540"/>
        <w:jc w:val="both"/>
      </w:pPr>
    </w:p>
    <w:p w:rsidR="00A84E22" w:rsidRDefault="00A84E22">
      <w:pPr>
        <w:pStyle w:val="ConsPlusNormal"/>
        <w:ind w:firstLine="540"/>
        <w:jc w:val="both"/>
      </w:pPr>
      <w:r>
        <w:t>М.П. Дата подачи заявления «___» ___________ 20__ г.</w:t>
      </w:r>
    </w:p>
    <w:p w:rsidR="00A84E22" w:rsidRDefault="00A84E22">
      <w:pPr>
        <w:pStyle w:val="ConsPlusNormal"/>
        <w:ind w:firstLine="540"/>
        <w:jc w:val="both"/>
      </w:pPr>
    </w:p>
    <w:sectPr w:rsidR="00A84E22">
      <w:pgSz w:w="11906" w:h="16838"/>
      <w:pgMar w:top="426" w:right="566" w:bottom="426" w:left="85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1D94" w:rsidRDefault="00C61D9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separator/>
      </w:r>
    </w:p>
  </w:endnote>
  <w:endnote w:type="continuationSeparator" w:id="0">
    <w:p w:rsidR="00C61D94" w:rsidRDefault="00C61D9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1D94" w:rsidRDefault="00C61D9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separator/>
      </w:r>
    </w:p>
  </w:footnote>
  <w:footnote w:type="continuationSeparator" w:id="0">
    <w:p w:rsidR="00C61D94" w:rsidRDefault="00C61D9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A9AA6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CAE5CADD"/>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2" w15:restartNumberingAfterBreak="0">
    <w:nsid w:val="D2B8920D"/>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3" w15:restartNumberingAfterBreak="0">
    <w:nsid w:val="E05F72F7"/>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4" w15:restartNumberingAfterBreak="0">
    <w:nsid w:val="EFD8871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5" w15:restartNumberingAfterBreak="0">
    <w:nsid w:val="0420658B"/>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2E9DD910"/>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7" w15:restartNumberingAfterBreak="0">
    <w:nsid w:val="31293715"/>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3C576772"/>
    <w:multiLevelType w:val="singleLevel"/>
    <w:tmpl w:val="FFFFFFFF"/>
    <w:lvl w:ilvl="0">
      <w:start w:val="1"/>
      <w:numFmt w:val="decimal"/>
      <w:lvlText w:val="%1."/>
      <w:lvlJc w:val="left"/>
      <w:pPr>
        <w:tabs>
          <w:tab w:val="num" w:pos="780"/>
        </w:tabs>
        <w:ind w:left="780" w:hanging="360"/>
      </w:pPr>
      <w:rPr>
        <w:rFonts w:cs="Times New Roman"/>
      </w:rPr>
    </w:lvl>
  </w:abstractNum>
  <w:abstractNum w:abstractNumId="9" w15:restartNumberingAfterBreak="0">
    <w:nsid w:val="4596B19E"/>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10" w15:restartNumberingAfterBreak="0">
    <w:nsid w:val="53CD0DF2"/>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1" w15:restartNumberingAfterBreak="0">
    <w:nsid w:val="662A4BD6"/>
    <w:multiLevelType w:val="singleLevel"/>
    <w:tmpl w:val="FFFFFFFF"/>
    <w:lvl w:ilvl="0">
      <w:start w:val="1"/>
      <w:numFmt w:val="decimal"/>
      <w:lvlText w:val="%1."/>
      <w:lvlJc w:val="left"/>
      <w:pPr>
        <w:tabs>
          <w:tab w:val="num" w:pos="1620"/>
        </w:tabs>
        <w:ind w:left="1620" w:hanging="360"/>
      </w:pPr>
      <w:rPr>
        <w:rFonts w:cs="Times New Roman"/>
      </w:rPr>
    </w:lvl>
  </w:abstractNum>
  <w:num w:numId="1" w16cid:durableId="1500122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720"/>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73"/>
    <w:rsid w:val="000E23C2"/>
    <w:rsid w:val="00344973"/>
    <w:rsid w:val="00680DFC"/>
    <w:rsid w:val="008572C5"/>
    <w:rsid w:val="00A84E22"/>
    <w:rsid w:val="00C6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8195F4-E618-404A-9ABD-DBC65CCD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lsdException w:name="footer"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annotation subject" w:semiHidden="1" w:unhideWhenUsed="1" w:qFormat="1"/>
    <w:lsdException w:name="No List" w:semiHidden="1" w:unhideWhenUsed="1"/>
    <w:lsdException w:name="Balloon Text" w:semiHidden="1" w:unhideWhenUsed="1" w:qFormat="1"/>
    <w:lsdException w:name="Table Grid" w:uiPriority="39"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unhideWhenUsed/>
    <w:locked/>
    <w:rPr>
      <w:rFonts w:cs="Times New Roman"/>
    </w:rPr>
  </w:style>
  <w:style w:type="character" w:customStyle="1" w:styleId="a5">
    <w:name w:val="Верхний колонтитул Знак"/>
    <w:basedOn w:val="a0"/>
    <w:link w:val="a6"/>
    <w:uiPriority w:val="99"/>
    <w:unhideWhenUsed/>
    <w:locked/>
    <w:rPr>
      <w:rFonts w:cs="Times New Roman"/>
    </w:rPr>
  </w:style>
  <w:style w:type="paragraph" w:customStyle="1" w:styleId="ConsPlusNonformat">
    <w:name w:val="ConsPlusNonformat"/>
    <w:uiPriority w:val="99"/>
    <w:unhideWhenUsed/>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Normal">
    <w:name w:val="ConsPlusNormal"/>
    <w:unhideWhenUsed/>
    <w:pPr>
      <w:widowControl w:val="0"/>
      <w:autoSpaceDE w:val="0"/>
      <w:autoSpaceDN w:val="0"/>
      <w:adjustRightInd w:val="0"/>
      <w:spacing w:after="0" w:line="240" w:lineRule="auto"/>
    </w:pPr>
    <w:rPr>
      <w:kern w:val="0"/>
      <w:sz w:val="24"/>
      <w:szCs w:val="24"/>
    </w:rPr>
  </w:style>
  <w:style w:type="paragraph" w:styleId="a4">
    <w:name w:val="footer"/>
    <w:basedOn w:val="a"/>
    <w:link w:val="a3"/>
    <w:uiPriority w:val="99"/>
    <w:unhideWhenUsed/>
    <w:pPr>
      <w:tabs>
        <w:tab w:val="center" w:pos="4677"/>
        <w:tab w:val="right" w:pos="9355"/>
      </w:tabs>
    </w:pPr>
  </w:style>
  <w:style w:type="character" w:customStyle="1" w:styleId="1">
    <w:name w:val="Нижний колонтитул Знак1"/>
    <w:basedOn w:val="a0"/>
    <w:uiPriority w:val="99"/>
    <w:semiHidden/>
    <w:rPr>
      <w:rFonts w:ascii="Calibri" w:hAnsi="Calibri"/>
      <w:kern w:val="0"/>
    </w:rPr>
  </w:style>
  <w:style w:type="character" w:customStyle="1" w:styleId="11">
    <w:name w:val="Нижний колонтитул Знак11"/>
    <w:basedOn w:val="a0"/>
    <w:uiPriority w:val="99"/>
    <w:semiHidden/>
    <w:rPr>
      <w:rFonts w:ascii="Calibri" w:hAnsi="Calibri" w:cs="Times New Roman"/>
      <w:kern w:val="0"/>
    </w:rPr>
  </w:style>
  <w:style w:type="paragraph" w:styleId="a6">
    <w:name w:val="header"/>
    <w:basedOn w:val="a"/>
    <w:link w:val="a5"/>
    <w:uiPriority w:val="99"/>
    <w:unhideWhenUsed/>
    <w:pPr>
      <w:tabs>
        <w:tab w:val="center" w:pos="4677"/>
        <w:tab w:val="right" w:pos="9355"/>
      </w:tabs>
    </w:pPr>
  </w:style>
  <w:style w:type="character" w:customStyle="1" w:styleId="10">
    <w:name w:val="Верхний колонтитул Знак1"/>
    <w:basedOn w:val="a0"/>
    <w:uiPriority w:val="99"/>
    <w:semiHidden/>
    <w:rPr>
      <w:rFonts w:ascii="Calibri" w:hAnsi="Calibri"/>
      <w:kern w:val="0"/>
    </w:rPr>
  </w:style>
  <w:style w:type="character" w:customStyle="1" w:styleId="110">
    <w:name w:val="Верхний колонтитул Знак11"/>
    <w:basedOn w:val="a0"/>
    <w:uiPriority w:val="99"/>
    <w:semiHidden/>
    <w:rPr>
      <w:rFonts w:ascii="Calibri" w:hAnsi="Calibri" w:cs="Times New Roman"/>
      <w:kern w:val="0"/>
    </w:rPr>
  </w:style>
  <w:style w:type="paragraph" w:customStyle="1" w:styleId="ConsPlusTitlePage">
    <w:name w:val="ConsPlusTitlePage"/>
    <w:uiPriority w:val="99"/>
    <w:unhideWhenUsed/>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Title">
    <w:name w:val="ConsPlusTitle"/>
    <w:uiPriority w:val="99"/>
    <w:unhideWhenUsed/>
    <w:pPr>
      <w:widowControl w:val="0"/>
      <w:autoSpaceDE w:val="0"/>
      <w:autoSpaceDN w:val="0"/>
      <w:adjustRightInd w:val="0"/>
      <w:spacing w:after="0" w:line="240" w:lineRule="auto"/>
    </w:pPr>
    <w:rPr>
      <w:rFonts w:ascii="Arial" w:hAnsi="Arial" w:cs="Arial"/>
      <w:b/>
      <w:kern w:val="0"/>
      <w:sz w:val="24"/>
      <w:szCs w:val="24"/>
    </w:rPr>
  </w:style>
  <w:style w:type="paragraph" w:customStyle="1" w:styleId="ConsPlusCell">
    <w:name w:val="ConsPlusCell"/>
    <w:uiPriority w:val="99"/>
    <w:unhideWhenUsed/>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unhideWhenUsed/>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JurTerm">
    <w:name w:val="ConsPlusJurTerm"/>
    <w:uiPriority w:val="99"/>
    <w:unhideWhenUsed/>
    <w:pPr>
      <w:widowControl w:val="0"/>
      <w:autoSpaceDE w:val="0"/>
      <w:autoSpaceDN w:val="0"/>
      <w:adjustRightInd w:val="0"/>
      <w:spacing w:after="0" w:line="240" w:lineRule="auto"/>
    </w:pPr>
    <w:rPr>
      <w:kern w:val="0"/>
      <w:sz w:val="24"/>
      <w:szCs w:val="24"/>
    </w:rPr>
  </w:style>
  <w:style w:type="paragraph" w:customStyle="1" w:styleId="ConsPlusTextList">
    <w:name w:val="ConsPlusTextList"/>
    <w:uiPriority w:val="99"/>
    <w:unhideWhenUsed/>
    <w:pPr>
      <w:widowControl w:val="0"/>
      <w:autoSpaceDE w:val="0"/>
      <w:autoSpaceDN w:val="0"/>
      <w:adjustRightInd w:val="0"/>
      <w:spacing w:after="0" w:line="240" w:lineRule="auto"/>
    </w:pPr>
    <w:rPr>
      <w:kern w:val="0"/>
      <w:sz w:val="24"/>
      <w:szCs w:val="24"/>
    </w:rPr>
  </w:style>
  <w:style w:type="paragraph" w:customStyle="1" w:styleId="ConsPlusTextList1">
    <w:name w:val="ConsPlusTextList1"/>
    <w:uiPriority w:val="99"/>
    <w:unhideWhenUsed/>
    <w:pPr>
      <w:widowControl w:val="0"/>
      <w:autoSpaceDE w:val="0"/>
      <w:autoSpaceDN w:val="0"/>
      <w:adjustRightInd w:val="0"/>
      <w:spacing w:after="0" w:line="240" w:lineRule="auto"/>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157&amp;dst=100133" TargetMode="External"/><Relationship Id="rId13" Type="http://schemas.openxmlformats.org/officeDocument/2006/relationships/hyperlink" Target="https://login.consultant.ru/link/?req=doc&amp;base=LAW&amp;n=462157&amp;dst=10013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62157&amp;dst=101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2157&amp;dst=1007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6215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215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3292</Words>
  <Characters>18770</Characters>
  <Application>Microsoft Office Word</Application>
  <DocSecurity>0</DocSecurity>
  <Lines>156</Lines>
  <Paragraphs>44</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Поторочин Павел Павлович</cp:lastModifiedBy>
  <cp:revision>2</cp:revision>
  <dcterms:created xsi:type="dcterms:W3CDTF">2024-10-03T12:12:00Z</dcterms:created>
  <dcterms:modified xsi:type="dcterms:W3CDTF">2024-10-03T12:12:00Z</dcterms:modified>
</cp:coreProperties>
</file>