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0813500000123011655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01.08.2023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233183702096718370100100440022899244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зз-28903-2023 Приобретение и установка диван-качелей по инициативному проекту «Благоустройство набережной в селе Кокман Красногорского района Удмуртской Республики»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133348,66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Потопаева Эльвира Ильсуровна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114682313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114682313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1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1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Потопаева Эльвира Ильсуровна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01.08.2023 09:53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Вахрушева Ольга Борисовна,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00D2EC1CB471728CCE710E1A79DE04F46F, действителен с 30.11.2022 по 23.02.2024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01.08.2023 09:53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01.08.2023 09:54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A3F18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