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9701B0"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5AEC">
        <w:rPr>
          <w:b/>
          <w:bCs/>
          <w:szCs w:val="24"/>
        </w:rPr>
        <w:t xml:space="preserve">молока и молочной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DE5AEC" w:rsidRPr="00DE5AEC">
        <w:rPr>
          <w:b/>
          <w:bCs/>
          <w:kern w:val="0"/>
          <w:szCs w:val="24"/>
        </w:rPr>
        <w:t xml:space="preserve">молока и молочной продукции для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746183" w:rsidP="00DC4BA5">
            <w:pPr>
              <w:shd w:val="clear" w:color="auto" w:fill="FFFFFF"/>
              <w:tabs>
                <w:tab w:val="left" w:pos="0"/>
              </w:tabs>
              <w:rPr>
                <w:sz w:val="20"/>
              </w:rPr>
            </w:pPr>
            <w:r w:rsidRPr="00746183">
              <w:rPr>
                <w:b/>
                <w:iCs/>
                <w:sz w:val="20"/>
                <w:shd w:val="clear" w:color="auto" w:fill="FFFFFF"/>
              </w:rPr>
              <w:t xml:space="preserve">Контрактный управляющий и  ответственный за заключение контракта: </w:t>
            </w:r>
            <w:r w:rsidRPr="00746183">
              <w:rPr>
                <w:iCs/>
                <w:sz w:val="20"/>
                <w:shd w:val="clear" w:color="auto" w:fill="FFFFFF"/>
              </w:rPr>
              <w:t>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701B0"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701B0"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6C19D8">
            <w:pPr>
              <w:jc w:val="both"/>
              <w:rPr>
                <w:bCs/>
                <w:sz w:val="20"/>
              </w:rPr>
            </w:pPr>
            <w:r w:rsidRPr="007976CA">
              <w:rPr>
                <w:bCs/>
                <w:sz w:val="20"/>
              </w:rPr>
              <w:t xml:space="preserve">Поставка молока и молочной продукции для нужд Муниципального казенного </w:t>
            </w:r>
            <w:r w:rsidRPr="007976CA">
              <w:rPr>
                <w:bCs/>
                <w:sz w:val="20"/>
              </w:rPr>
              <w:lastRenderedPageBreak/>
              <w:t xml:space="preserve">учреждения для </w:t>
            </w:r>
            <w:r w:rsidR="00551155">
              <w:rPr>
                <w:bCs/>
                <w:sz w:val="20"/>
              </w:rPr>
              <w:t xml:space="preserve">детей - 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746183">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746183">
              <w:rPr>
                <w:color w:val="000000"/>
                <w:sz w:val="20"/>
              </w:rPr>
              <w:t>2366,56</w:t>
            </w:r>
            <w:r w:rsidRPr="00FC1E03">
              <w:rPr>
                <w:color w:val="000000"/>
                <w:sz w:val="20"/>
              </w:rPr>
              <w:t xml:space="preserve"> (</w:t>
            </w:r>
            <w:r w:rsidR="00746183">
              <w:rPr>
                <w:color w:val="000000"/>
                <w:sz w:val="20"/>
              </w:rPr>
              <w:t>Две тысячи триста шестьдесят шесть</w:t>
            </w:r>
            <w:r w:rsidRPr="00FC1E03">
              <w:rPr>
                <w:sz w:val="20"/>
              </w:rPr>
              <w:t>) рубл</w:t>
            </w:r>
            <w:r w:rsidR="00746183">
              <w:rPr>
                <w:sz w:val="20"/>
              </w:rPr>
              <w:t>ей</w:t>
            </w:r>
            <w:r w:rsidR="00E67CC8" w:rsidRPr="00FC1E03">
              <w:rPr>
                <w:sz w:val="20"/>
              </w:rPr>
              <w:t xml:space="preserve"> </w:t>
            </w:r>
            <w:r w:rsidR="00746183">
              <w:rPr>
                <w:sz w:val="20"/>
              </w:rPr>
              <w:t>56</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746183">
            <w:pPr>
              <w:snapToGrid w:val="0"/>
              <w:rPr>
                <w:b/>
                <w:color w:val="000000"/>
                <w:sz w:val="20"/>
              </w:rPr>
            </w:pPr>
            <w:r w:rsidRPr="00ED7C07">
              <w:rPr>
                <w:b/>
                <w:sz w:val="20"/>
              </w:rPr>
              <w:t>«</w:t>
            </w:r>
            <w:r w:rsidR="00746183">
              <w:rPr>
                <w:b/>
                <w:sz w:val="20"/>
              </w:rPr>
              <w:t>20</w:t>
            </w:r>
            <w:r w:rsidRPr="00ED7C07">
              <w:rPr>
                <w:b/>
                <w:sz w:val="20"/>
              </w:rPr>
              <w:t>»</w:t>
            </w:r>
            <w:r w:rsidR="00746183">
              <w:rPr>
                <w:b/>
                <w:sz w:val="20"/>
              </w:rPr>
              <w:t xml:space="preserve"> апреля</w:t>
            </w:r>
            <w:r w:rsidR="00FC1E03" w:rsidRPr="00ED7C07">
              <w:rPr>
                <w:b/>
                <w:sz w:val="20"/>
              </w:rPr>
              <w:t xml:space="preserve"> 2016</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46183" w:rsidRDefault="004F5E00" w:rsidP="00746183">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746183">
              <w:rPr>
                <w:kern w:val="0"/>
                <w:sz w:val="20"/>
              </w:rPr>
              <w:t>.</w:t>
            </w:r>
          </w:p>
          <w:p w:rsidR="004F5E00" w:rsidRPr="00FA5B5C" w:rsidRDefault="004F5E00" w:rsidP="00746183">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5102BB" w:rsidRPr="00ED7C07">
              <w:rPr>
                <w:b/>
                <w:color w:val="000000"/>
                <w:sz w:val="20"/>
              </w:rPr>
              <w:t>2</w:t>
            </w:r>
            <w:r w:rsidR="00746183">
              <w:rPr>
                <w:b/>
                <w:color w:val="000000"/>
                <w:sz w:val="20"/>
              </w:rPr>
              <w:t>8</w:t>
            </w:r>
            <w:r w:rsidR="004F5E00" w:rsidRPr="00ED7C07">
              <w:rPr>
                <w:b/>
                <w:color w:val="000000"/>
                <w:sz w:val="20"/>
              </w:rPr>
              <w:t>»</w:t>
            </w:r>
            <w:r w:rsidR="00FC1E03" w:rsidRPr="00ED7C07">
              <w:rPr>
                <w:b/>
                <w:color w:val="000000"/>
                <w:sz w:val="20"/>
              </w:rPr>
              <w:t xml:space="preserve"> </w:t>
            </w:r>
            <w:r w:rsidR="00746183">
              <w:rPr>
                <w:b/>
                <w:color w:val="000000"/>
                <w:sz w:val="20"/>
              </w:rPr>
              <w:t>апреля</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5102BB" w:rsidRPr="00ED7C07">
              <w:rPr>
                <w:b/>
                <w:color w:val="000000" w:themeColor="text1"/>
                <w:sz w:val="20"/>
              </w:rPr>
              <w:t>2</w:t>
            </w:r>
            <w:r w:rsidR="00746183">
              <w:rPr>
                <w:b/>
                <w:color w:val="000000" w:themeColor="text1"/>
                <w:sz w:val="20"/>
              </w:rPr>
              <w:t>9</w:t>
            </w:r>
            <w:r w:rsidRPr="00ED7C07">
              <w:rPr>
                <w:b/>
                <w:color w:val="000000" w:themeColor="text1"/>
                <w:sz w:val="20"/>
              </w:rPr>
              <w:t>»</w:t>
            </w:r>
            <w:r w:rsidR="00746183">
              <w:rPr>
                <w:b/>
                <w:color w:val="000000" w:themeColor="text1"/>
                <w:sz w:val="20"/>
              </w:rPr>
              <w:t xml:space="preserve"> апреля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746183">
            <w:pPr>
              <w:snapToGrid w:val="0"/>
              <w:jc w:val="both"/>
              <w:rPr>
                <w:color w:val="000000" w:themeColor="text1"/>
                <w:sz w:val="20"/>
              </w:rPr>
            </w:pPr>
            <w:r w:rsidRPr="00ED7C07">
              <w:rPr>
                <w:b/>
                <w:color w:val="000000" w:themeColor="text1"/>
                <w:sz w:val="20"/>
              </w:rPr>
              <w:t>«</w:t>
            </w:r>
            <w:r w:rsidR="00746183">
              <w:rPr>
                <w:b/>
                <w:color w:val="000000" w:themeColor="text1"/>
                <w:sz w:val="20"/>
              </w:rPr>
              <w:t>04</w:t>
            </w:r>
            <w:r w:rsidR="008E059E" w:rsidRPr="00ED7C07">
              <w:rPr>
                <w:b/>
                <w:color w:val="000000" w:themeColor="text1"/>
                <w:sz w:val="20"/>
              </w:rPr>
              <w:t>»</w:t>
            </w:r>
            <w:r w:rsidR="00746183">
              <w:rPr>
                <w:b/>
                <w:color w:val="000000" w:themeColor="text1"/>
                <w:sz w:val="20"/>
              </w:rPr>
              <w:t xml:space="preserve"> мая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746183" w:rsidP="00462F70">
            <w:pPr>
              <w:shd w:val="clear" w:color="auto" w:fill="FFFFFF"/>
              <w:autoSpaceDE w:val="0"/>
              <w:ind w:right="175"/>
              <w:jc w:val="both"/>
              <w:rPr>
                <w:b/>
                <w:color w:val="000000" w:themeColor="text1"/>
                <w:sz w:val="20"/>
              </w:rPr>
            </w:pPr>
            <w:r>
              <w:rPr>
                <w:b/>
                <w:color w:val="000000" w:themeColor="text1"/>
                <w:sz w:val="20"/>
              </w:rPr>
              <w:t xml:space="preserve">236655,60 </w:t>
            </w:r>
            <w:r w:rsidR="004F5E00" w:rsidRPr="00CC55BA">
              <w:rPr>
                <w:b/>
                <w:color w:val="000000" w:themeColor="text1"/>
                <w:sz w:val="20"/>
              </w:rPr>
              <w:t xml:space="preserve"> (</w:t>
            </w:r>
            <w:r>
              <w:rPr>
                <w:b/>
                <w:color w:val="000000" w:themeColor="text1"/>
                <w:sz w:val="20"/>
              </w:rPr>
              <w:t>Двести тридцать шесть тысяч шестьсот пятьдесят пять</w:t>
            </w:r>
            <w:r w:rsidR="001C6FAC" w:rsidRPr="00CC55BA">
              <w:rPr>
                <w:b/>
                <w:color w:val="000000" w:themeColor="text1"/>
                <w:sz w:val="20"/>
              </w:rPr>
              <w:t xml:space="preserve">) рублей </w:t>
            </w:r>
            <w:r w:rsidR="004F5E00" w:rsidRPr="00CC55BA">
              <w:rPr>
                <w:b/>
                <w:color w:val="000000" w:themeColor="text1"/>
                <w:sz w:val="20"/>
              </w:rPr>
              <w:t xml:space="preserve"> </w:t>
            </w:r>
            <w:r>
              <w:rPr>
                <w:b/>
                <w:color w:val="000000" w:themeColor="text1"/>
                <w:sz w:val="20"/>
              </w:rPr>
              <w:t xml:space="preserve">60 </w:t>
            </w:r>
            <w:r w:rsidR="004F5E00" w:rsidRPr="00CC55BA">
              <w:rPr>
                <w:b/>
                <w:color w:val="000000" w:themeColor="text1"/>
                <w:sz w:val="20"/>
              </w:rPr>
              <w:t>копе</w:t>
            </w:r>
            <w:r>
              <w:rPr>
                <w:b/>
                <w:color w:val="000000" w:themeColor="text1"/>
                <w:sz w:val="20"/>
              </w:rPr>
              <w:t>ек</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D3ECA" w:rsidRPr="00BD3ECA" w:rsidRDefault="005E23EC" w:rsidP="00BD3ECA">
            <w:pPr>
              <w:tabs>
                <w:tab w:val="left" w:pos="2322"/>
              </w:tabs>
              <w:snapToGrid w:val="0"/>
              <w:rPr>
                <w:rFonts w:eastAsia="SimSun"/>
                <w:color w:val="000000" w:themeColor="text1"/>
                <w:sz w:val="20"/>
              </w:rPr>
            </w:pPr>
            <w:r>
              <w:rPr>
                <w:rFonts w:eastAsia="SimSun"/>
                <w:color w:val="000000" w:themeColor="text1"/>
                <w:sz w:val="20"/>
              </w:rPr>
              <w:t>М</w:t>
            </w:r>
            <w:r w:rsidR="00BD3ECA" w:rsidRPr="00BD3ECA">
              <w:rPr>
                <w:rFonts w:eastAsia="SimSun"/>
                <w:color w:val="000000" w:themeColor="text1"/>
                <w:sz w:val="20"/>
              </w:rPr>
              <w:t>олоко питьевое – 10.51.11.110</w:t>
            </w:r>
          </w:p>
          <w:p w:rsidR="00BD3ECA" w:rsidRPr="00BD3ECA" w:rsidRDefault="007620B1" w:rsidP="00BD3ECA">
            <w:pPr>
              <w:tabs>
                <w:tab w:val="left" w:pos="2322"/>
              </w:tabs>
              <w:snapToGrid w:val="0"/>
              <w:rPr>
                <w:rFonts w:eastAsia="SimSun"/>
                <w:color w:val="000000" w:themeColor="text1"/>
                <w:sz w:val="20"/>
              </w:rPr>
            </w:pPr>
            <w:r>
              <w:rPr>
                <w:rFonts w:eastAsia="SimSun"/>
                <w:color w:val="000000" w:themeColor="text1"/>
                <w:sz w:val="20"/>
              </w:rPr>
              <w:t>Масло сливочное – 10.51.30.111</w:t>
            </w:r>
          </w:p>
          <w:p w:rsidR="00BD3ECA" w:rsidRPr="00BD3ECA"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Кефир – 10.51.52.114</w:t>
            </w:r>
          </w:p>
          <w:p w:rsidR="001E4086" w:rsidRPr="0006310E"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Йогурт – 10.51.52.111</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A41F9A">
              <w:rPr>
                <w:sz w:val="20"/>
              </w:rPr>
              <w:t xml:space="preserve"> </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A41F9A">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w:t>
            </w:r>
            <w:r w:rsidR="00A45701" w:rsidRPr="00A45701">
              <w:rPr>
                <w:sz w:val="20"/>
              </w:rPr>
              <w:lastRenderedPageBreak/>
              <w:t xml:space="preserve">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A41F9A">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A41F9A">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A41F9A">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A41F9A">
              <w:rPr>
                <w:sz w:val="20"/>
              </w:rPr>
              <w:t>11832,78</w:t>
            </w:r>
            <w:r w:rsidRPr="007620B1">
              <w:rPr>
                <w:b/>
                <w:sz w:val="20"/>
              </w:rPr>
              <w:t xml:space="preserve"> </w:t>
            </w:r>
            <w:r w:rsidRPr="007620B1">
              <w:rPr>
                <w:sz w:val="20"/>
              </w:rPr>
              <w:t>(</w:t>
            </w:r>
            <w:r w:rsidR="00A41F9A">
              <w:rPr>
                <w:sz w:val="20"/>
              </w:rPr>
              <w:t>Одиннадцать тысяч восемьсот тридцать два</w:t>
            </w:r>
            <w:r w:rsidR="00CF25DE" w:rsidRPr="007620B1">
              <w:rPr>
                <w:sz w:val="20"/>
              </w:rPr>
              <w:t>)</w:t>
            </w:r>
            <w:r w:rsidRPr="007620B1">
              <w:rPr>
                <w:sz w:val="20"/>
              </w:rPr>
              <w:t xml:space="preserve"> рубл</w:t>
            </w:r>
            <w:r w:rsidR="00A41F9A">
              <w:rPr>
                <w:sz w:val="20"/>
              </w:rPr>
              <w:t>я 78</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1F0D33" w:rsidTr="000256AC">
              <w:tc>
                <w:tcPr>
                  <w:tcW w:w="2474"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r w:rsidRPr="001F0D33">
                    <w:rPr>
                      <w:kern w:val="0"/>
                      <w:sz w:val="18"/>
                      <w:szCs w:val="18"/>
                    </w:rPr>
                    <w:t>Банк получателя</w:t>
                  </w:r>
                </w:p>
              </w:tc>
              <w:tc>
                <w:tcPr>
                  <w:tcW w:w="4926" w:type="dxa"/>
                </w:tcPr>
                <w:p w:rsidR="00976F9D" w:rsidRPr="001F0D33" w:rsidRDefault="00A41F9A" w:rsidP="009713EC">
                  <w:pPr>
                    <w:framePr w:hSpace="180" w:wrap="around" w:vAnchor="text" w:hAnchor="margin" w:xAlign="center" w:y="158"/>
                    <w:autoSpaceDE w:val="0"/>
                    <w:autoSpaceDN w:val="0"/>
                    <w:adjustRightInd w:val="0"/>
                    <w:jc w:val="both"/>
                    <w:rPr>
                      <w:kern w:val="0"/>
                      <w:sz w:val="18"/>
                      <w:szCs w:val="18"/>
                    </w:rPr>
                  </w:pPr>
                  <w:r w:rsidRPr="001F0D33">
                    <w:rPr>
                      <w:kern w:val="0"/>
                      <w:sz w:val="18"/>
                      <w:szCs w:val="18"/>
                    </w:rPr>
                    <w:t>ОТДЕЛЕНИЕ – НБ УДМУРТСКАЯ РЕСПУБЛИКА Г. ИЖЕВСК</w:t>
                  </w:r>
                </w:p>
              </w:tc>
            </w:tr>
            <w:tr w:rsidR="00976F9D" w:rsidRPr="001F0D33" w:rsidTr="000256AC">
              <w:tc>
                <w:tcPr>
                  <w:tcW w:w="2474"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r w:rsidRPr="001F0D33">
                    <w:rPr>
                      <w:kern w:val="0"/>
                      <w:sz w:val="18"/>
                      <w:szCs w:val="18"/>
                    </w:rPr>
                    <w:t>БИК</w:t>
                  </w:r>
                </w:p>
              </w:tc>
              <w:tc>
                <w:tcPr>
                  <w:tcW w:w="4926"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r w:rsidRPr="001F0D33">
                    <w:rPr>
                      <w:kern w:val="0"/>
                      <w:sz w:val="18"/>
                      <w:szCs w:val="18"/>
                    </w:rPr>
                    <w:t>049401001</w:t>
                  </w:r>
                </w:p>
              </w:tc>
            </w:tr>
            <w:tr w:rsidR="00976F9D" w:rsidRPr="001F0D33" w:rsidTr="000256AC">
              <w:tc>
                <w:tcPr>
                  <w:tcW w:w="2474"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r w:rsidRPr="001F0D33">
                    <w:rPr>
                      <w:kern w:val="0"/>
                      <w:sz w:val="18"/>
                      <w:szCs w:val="18"/>
                    </w:rPr>
                    <w:t>Получатель</w:t>
                  </w:r>
                </w:p>
              </w:tc>
              <w:tc>
                <w:tcPr>
                  <w:tcW w:w="4926"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r w:rsidRPr="001F0D33">
                    <w:rPr>
                      <w:sz w:val="18"/>
                      <w:szCs w:val="18"/>
                    </w:rPr>
                    <w:t>УФК по Удмуртской Республике (</w:t>
                  </w:r>
                  <w:r w:rsidR="006A10CE" w:rsidRPr="001F0D33">
                    <w:rPr>
                      <w:sz w:val="18"/>
                      <w:szCs w:val="18"/>
                    </w:rPr>
                    <w:t>МКУ «Красногорский детский дом»</w:t>
                  </w:r>
                  <w:r w:rsidRPr="001F0D33">
                    <w:rPr>
                      <w:sz w:val="18"/>
                      <w:szCs w:val="18"/>
                    </w:rPr>
                    <w:t xml:space="preserve">, </w:t>
                  </w:r>
                  <w:proofErr w:type="gramStart"/>
                  <w:r w:rsidRPr="001F0D33">
                    <w:rPr>
                      <w:sz w:val="18"/>
                      <w:szCs w:val="18"/>
                    </w:rPr>
                    <w:t>л</w:t>
                  </w:r>
                  <w:proofErr w:type="gramEnd"/>
                  <w:r w:rsidRPr="001F0D33">
                    <w:rPr>
                      <w:sz w:val="18"/>
                      <w:szCs w:val="18"/>
                    </w:rPr>
                    <w:t xml:space="preserve">/с </w:t>
                  </w:r>
                  <w:r w:rsidR="006A10CE" w:rsidRPr="001F0D33">
                    <w:rPr>
                      <w:sz w:val="18"/>
                      <w:szCs w:val="18"/>
                    </w:rPr>
                    <w:t>05133005900</w:t>
                  </w:r>
                  <w:r w:rsidRPr="001F0D33">
                    <w:rPr>
                      <w:sz w:val="18"/>
                      <w:szCs w:val="18"/>
                    </w:rPr>
                    <w:t>)</w:t>
                  </w:r>
                </w:p>
              </w:tc>
            </w:tr>
            <w:tr w:rsidR="00976F9D" w:rsidRPr="001F0D33" w:rsidTr="000256AC">
              <w:tc>
                <w:tcPr>
                  <w:tcW w:w="2474"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r w:rsidRPr="001F0D33">
                    <w:rPr>
                      <w:kern w:val="0"/>
                      <w:sz w:val="18"/>
                      <w:szCs w:val="18"/>
                    </w:rPr>
                    <w:t>ИНН/КПП</w:t>
                  </w:r>
                </w:p>
              </w:tc>
              <w:tc>
                <w:tcPr>
                  <w:tcW w:w="4926" w:type="dxa"/>
                </w:tcPr>
                <w:p w:rsidR="00976F9D" w:rsidRPr="001F0D33" w:rsidRDefault="006A10CE" w:rsidP="009713EC">
                  <w:pPr>
                    <w:framePr w:hSpace="180" w:wrap="around" w:vAnchor="text" w:hAnchor="margin" w:xAlign="center" w:y="158"/>
                    <w:autoSpaceDE w:val="0"/>
                    <w:autoSpaceDN w:val="0"/>
                    <w:adjustRightInd w:val="0"/>
                    <w:jc w:val="both"/>
                    <w:rPr>
                      <w:sz w:val="18"/>
                      <w:szCs w:val="18"/>
                    </w:rPr>
                  </w:pPr>
                  <w:r w:rsidRPr="001F0D33">
                    <w:rPr>
                      <w:sz w:val="18"/>
                      <w:szCs w:val="18"/>
                    </w:rPr>
                    <w:t>1815002227</w:t>
                  </w:r>
                  <w:r w:rsidR="00976F9D" w:rsidRPr="001F0D33">
                    <w:rPr>
                      <w:sz w:val="18"/>
                      <w:szCs w:val="18"/>
                    </w:rPr>
                    <w:t xml:space="preserve"> / 183701001</w:t>
                  </w:r>
                </w:p>
              </w:tc>
            </w:tr>
            <w:tr w:rsidR="00976F9D" w:rsidRPr="001F0D33" w:rsidTr="000256AC">
              <w:tc>
                <w:tcPr>
                  <w:tcW w:w="2474"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proofErr w:type="spellStart"/>
                  <w:r w:rsidRPr="001F0D33">
                    <w:rPr>
                      <w:kern w:val="0"/>
                      <w:sz w:val="18"/>
                      <w:szCs w:val="18"/>
                    </w:rPr>
                    <w:t>Сч</w:t>
                  </w:r>
                  <w:proofErr w:type="spellEnd"/>
                  <w:r w:rsidRPr="001F0D33">
                    <w:rPr>
                      <w:kern w:val="0"/>
                      <w:sz w:val="18"/>
                      <w:szCs w:val="18"/>
                    </w:rPr>
                    <w:t>. №</w:t>
                  </w:r>
                </w:p>
              </w:tc>
              <w:tc>
                <w:tcPr>
                  <w:tcW w:w="4926" w:type="dxa"/>
                </w:tcPr>
                <w:p w:rsidR="00976F9D" w:rsidRPr="001F0D33" w:rsidRDefault="006A10CE" w:rsidP="009713EC">
                  <w:pPr>
                    <w:framePr w:hSpace="180" w:wrap="around" w:vAnchor="text" w:hAnchor="margin" w:xAlign="center" w:y="158"/>
                    <w:autoSpaceDE w:val="0"/>
                    <w:autoSpaceDN w:val="0"/>
                    <w:adjustRightInd w:val="0"/>
                    <w:jc w:val="both"/>
                    <w:rPr>
                      <w:sz w:val="18"/>
                      <w:szCs w:val="18"/>
                    </w:rPr>
                  </w:pPr>
                  <w:r w:rsidRPr="001F0D33">
                    <w:rPr>
                      <w:sz w:val="18"/>
                      <w:szCs w:val="18"/>
                    </w:rPr>
                    <w:t>40302810294013000127</w:t>
                  </w:r>
                </w:p>
              </w:tc>
            </w:tr>
            <w:tr w:rsidR="00976F9D" w:rsidRPr="001F0D33" w:rsidTr="000256AC">
              <w:tc>
                <w:tcPr>
                  <w:tcW w:w="2474" w:type="dxa"/>
                </w:tcPr>
                <w:p w:rsidR="00976F9D" w:rsidRPr="001F0D33" w:rsidRDefault="00976F9D" w:rsidP="009713EC">
                  <w:pPr>
                    <w:framePr w:hSpace="180" w:wrap="around" w:vAnchor="text" w:hAnchor="margin" w:xAlign="center" w:y="158"/>
                    <w:autoSpaceDE w:val="0"/>
                    <w:autoSpaceDN w:val="0"/>
                    <w:adjustRightInd w:val="0"/>
                    <w:jc w:val="both"/>
                    <w:rPr>
                      <w:kern w:val="0"/>
                      <w:sz w:val="18"/>
                      <w:szCs w:val="18"/>
                    </w:rPr>
                  </w:pPr>
                  <w:r w:rsidRPr="001F0D33">
                    <w:rPr>
                      <w:kern w:val="0"/>
                      <w:sz w:val="18"/>
                      <w:szCs w:val="18"/>
                    </w:rPr>
                    <w:t>Назначение платежа</w:t>
                  </w:r>
                </w:p>
              </w:tc>
              <w:tc>
                <w:tcPr>
                  <w:tcW w:w="4926" w:type="dxa"/>
                </w:tcPr>
                <w:p w:rsidR="00976F9D" w:rsidRPr="001F0D33" w:rsidRDefault="00976F9D" w:rsidP="009713EC">
                  <w:pPr>
                    <w:framePr w:hSpace="180" w:wrap="around" w:vAnchor="text" w:hAnchor="margin" w:xAlign="center" w:y="158"/>
                    <w:autoSpaceDE w:val="0"/>
                    <w:autoSpaceDN w:val="0"/>
                    <w:adjustRightInd w:val="0"/>
                    <w:jc w:val="both"/>
                    <w:rPr>
                      <w:sz w:val="18"/>
                      <w:szCs w:val="18"/>
                    </w:rPr>
                  </w:pPr>
                  <w:r w:rsidRPr="001F0D33">
                    <w:rPr>
                      <w:sz w:val="18"/>
                      <w:szCs w:val="18"/>
                    </w:rPr>
                    <w:t xml:space="preserve">Обеспечение исполнения </w:t>
                  </w:r>
                  <w:r w:rsidR="00BD3ECA" w:rsidRPr="001F0D33">
                    <w:rPr>
                      <w:sz w:val="18"/>
                      <w:szCs w:val="18"/>
                    </w:rPr>
                    <w:t>контракта</w:t>
                  </w:r>
                  <w:r w:rsidRPr="001F0D33">
                    <w:rPr>
                      <w:sz w:val="18"/>
                      <w:szCs w:val="18"/>
                    </w:rPr>
                    <w:t xml:space="preserve"> </w:t>
                  </w:r>
                  <w:proofErr w:type="gramStart"/>
                  <w:r w:rsidRPr="001F0D33">
                    <w:rPr>
                      <w:sz w:val="18"/>
                      <w:szCs w:val="18"/>
                    </w:rPr>
                    <w:t>на</w:t>
                  </w:r>
                  <w:proofErr w:type="gramEnd"/>
                  <w:r w:rsidRPr="001F0D33">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w:t>
            </w:r>
            <w:r w:rsidRPr="00F5260D">
              <w:rPr>
                <w:color w:val="000000"/>
                <w:sz w:val="20"/>
              </w:rPr>
              <w:lastRenderedPageBreak/>
              <w:t xml:space="preserve">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A41F9A">
            <w:pPr>
              <w:snapToGrid w:val="0"/>
              <w:rPr>
                <w:b/>
                <w:sz w:val="20"/>
              </w:rPr>
            </w:pPr>
            <w:r w:rsidRPr="007620B1">
              <w:rPr>
                <w:sz w:val="20"/>
              </w:rPr>
              <w:t>Окончание   –  до</w:t>
            </w:r>
            <w:r w:rsidR="008259B4" w:rsidRPr="007620B1">
              <w:rPr>
                <w:sz w:val="20"/>
              </w:rPr>
              <w:t xml:space="preserve"> 3</w:t>
            </w:r>
            <w:r w:rsidR="002B77C5" w:rsidRPr="007620B1">
              <w:rPr>
                <w:sz w:val="20"/>
              </w:rPr>
              <w:t>1</w:t>
            </w:r>
            <w:r w:rsidR="00B3598B" w:rsidRPr="007620B1">
              <w:rPr>
                <w:sz w:val="20"/>
              </w:rPr>
              <w:t xml:space="preserve"> </w:t>
            </w:r>
            <w:r w:rsidR="00A41F9A">
              <w:rPr>
                <w:sz w:val="20"/>
              </w:rPr>
              <w:t>декабря</w:t>
            </w:r>
            <w:r w:rsidR="002B77C5" w:rsidRPr="007620B1">
              <w:rPr>
                <w:sz w:val="20"/>
              </w:rPr>
              <w:t xml:space="preserve"> 2016</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713EC">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9713EC">
              <w:rPr>
                <w:sz w:val="20"/>
              </w:rPr>
              <w:t xml:space="preserve"> </w:t>
            </w:r>
            <w:r w:rsidR="009713EC">
              <w:rPr>
                <w:sz w:val="20"/>
              </w:rPr>
              <w:t xml:space="preserve">до </w:t>
            </w:r>
            <w:bookmarkStart w:id="1" w:name="_GoBack"/>
            <w:r w:rsidR="009713EC">
              <w:rPr>
                <w:b/>
                <w:color w:val="FF0000"/>
                <w:sz w:val="20"/>
              </w:rPr>
              <w:t>«</w:t>
            </w:r>
            <w:r w:rsidR="009713EC">
              <w:rPr>
                <w:b/>
                <w:color w:val="FF0000"/>
                <w:sz w:val="20"/>
              </w:rPr>
              <w:t>22</w:t>
            </w:r>
            <w:r w:rsidR="009713EC">
              <w:rPr>
                <w:b/>
                <w:color w:val="FF0000"/>
                <w:sz w:val="20"/>
              </w:rPr>
              <w:t>» апреля 2016 г. (включительно)</w:t>
            </w:r>
            <w:r w:rsidR="009713EC">
              <w:rPr>
                <w:color w:val="FF0000"/>
                <w:sz w:val="20"/>
              </w:rPr>
              <w:t>.</w:t>
            </w:r>
            <w:bookmarkEnd w:id="1"/>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w:t>
            </w:r>
            <w:r w:rsidRPr="00FA5B5C">
              <w:rPr>
                <w:sz w:val="20"/>
              </w:rPr>
              <w:lastRenderedPageBreak/>
              <w:t>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lastRenderedPageBreak/>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w:t>
            </w:r>
            <w:r w:rsidRPr="00FA5B5C">
              <w:rPr>
                <w:rFonts w:eastAsia="Calibri"/>
                <w:sz w:val="20"/>
                <w:lang w:eastAsia="en-US"/>
              </w:rPr>
              <w:lastRenderedPageBreak/>
              <w:t xml:space="preserve">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A41F9A" w:rsidRDefault="00A41F9A"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Pr="00875342" w:rsidRDefault="00974CB1" w:rsidP="00E743AF">
      <w:pPr>
        <w:tabs>
          <w:tab w:val="left" w:pos="9214"/>
        </w:tabs>
        <w:autoSpaceDE w:val="0"/>
        <w:autoSpaceDN w:val="0"/>
        <w:adjustRightInd w:val="0"/>
        <w:jc w:val="center"/>
        <w:rPr>
          <w:b/>
          <w:kern w:val="0"/>
          <w:szCs w:val="24"/>
        </w:rPr>
      </w:pPr>
      <w:r w:rsidRPr="00875342">
        <w:rPr>
          <w:b/>
          <w:kern w:val="0"/>
          <w:szCs w:val="24"/>
        </w:rPr>
        <w:t>Техническое задание</w:t>
      </w:r>
    </w:p>
    <w:p w:rsidR="004A2149" w:rsidRDefault="00E743AF" w:rsidP="00A9719F">
      <w:pPr>
        <w:contextualSpacing/>
        <w:jc w:val="center"/>
        <w:rPr>
          <w:b/>
          <w:bCs/>
          <w:kern w:val="0"/>
          <w:sz w:val="22"/>
          <w:szCs w:val="22"/>
        </w:rPr>
      </w:pPr>
      <w:r w:rsidRPr="00875342">
        <w:rPr>
          <w:b/>
          <w:bCs/>
          <w:kern w:val="0"/>
          <w:sz w:val="22"/>
          <w:szCs w:val="22"/>
        </w:rPr>
        <w:t xml:space="preserve">на поставку молока и молочной продукции для нужд Муниципального казенного учреждения для </w:t>
      </w:r>
      <w:r w:rsidR="00551155" w:rsidRPr="00875342">
        <w:rPr>
          <w:b/>
          <w:bCs/>
          <w:kern w:val="0"/>
          <w:sz w:val="22"/>
          <w:szCs w:val="22"/>
        </w:rPr>
        <w:t xml:space="preserve">детей - сирот </w:t>
      </w:r>
      <w:r w:rsidRPr="00875342">
        <w:rPr>
          <w:b/>
          <w:bCs/>
          <w:kern w:val="0"/>
          <w:sz w:val="22"/>
          <w:szCs w:val="22"/>
        </w:rPr>
        <w:t>и детей, оставшихся без попечения родителей, «Красногорский детский дом»</w:t>
      </w:r>
    </w:p>
    <w:p w:rsidR="00A9719F" w:rsidRDefault="00A9719F" w:rsidP="00C46B6D">
      <w:pPr>
        <w:contextualSpacing/>
        <w:rPr>
          <w:b/>
          <w:bCs/>
          <w:kern w:val="0"/>
          <w:sz w:val="22"/>
          <w:szCs w:val="22"/>
        </w:rPr>
      </w:pPr>
    </w:p>
    <w:tbl>
      <w:tblPr>
        <w:tblStyle w:val="92"/>
        <w:tblpPr w:leftFromText="180" w:rightFromText="180" w:vertAnchor="page" w:horzAnchor="margin" w:tblpY="2761"/>
        <w:tblW w:w="10485" w:type="dxa"/>
        <w:tblLayout w:type="fixed"/>
        <w:tblLook w:val="04A0" w:firstRow="1" w:lastRow="0" w:firstColumn="1" w:lastColumn="0" w:noHBand="0" w:noVBand="1"/>
      </w:tblPr>
      <w:tblGrid>
        <w:gridCol w:w="469"/>
        <w:gridCol w:w="1713"/>
        <w:gridCol w:w="4704"/>
        <w:gridCol w:w="1384"/>
        <w:gridCol w:w="627"/>
        <w:gridCol w:w="1588"/>
      </w:tblGrid>
      <w:tr w:rsidR="00C46B6D" w:rsidRPr="00C17D46" w:rsidTr="00C46B6D">
        <w:trPr>
          <w:trHeight w:val="695"/>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w:t>
            </w:r>
          </w:p>
        </w:tc>
        <w:tc>
          <w:tcPr>
            <w:tcW w:w="1713" w:type="dxa"/>
          </w:tcPr>
          <w:p w:rsidR="00C46B6D" w:rsidRPr="00946B06" w:rsidRDefault="00C46B6D" w:rsidP="00C46B6D">
            <w:pPr>
              <w:rPr>
                <w:rFonts w:eastAsia="Calibri"/>
                <w:kern w:val="0"/>
                <w:sz w:val="21"/>
                <w:szCs w:val="21"/>
                <w:lang w:eastAsia="en-US"/>
              </w:rPr>
            </w:pPr>
            <w:r w:rsidRPr="00946B06">
              <w:rPr>
                <w:rFonts w:eastAsia="Calibri"/>
                <w:kern w:val="0"/>
                <w:sz w:val="21"/>
                <w:szCs w:val="21"/>
                <w:lang w:eastAsia="en-US"/>
              </w:rPr>
              <w:t>Наименование Товара</w:t>
            </w:r>
          </w:p>
        </w:tc>
        <w:tc>
          <w:tcPr>
            <w:tcW w:w="4704" w:type="dxa"/>
          </w:tcPr>
          <w:p w:rsidR="00C46B6D" w:rsidRPr="00946B06" w:rsidRDefault="00C46B6D" w:rsidP="00C46B6D">
            <w:pPr>
              <w:rPr>
                <w:rFonts w:eastAsia="Calibri"/>
                <w:kern w:val="0"/>
                <w:sz w:val="21"/>
                <w:szCs w:val="21"/>
                <w:lang w:eastAsia="en-US"/>
              </w:rPr>
            </w:pPr>
            <w:r w:rsidRPr="00946B06">
              <w:rPr>
                <w:rFonts w:eastAsia="Calibri"/>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ОКПД</w:t>
            </w:r>
            <w:proofErr w:type="gramStart"/>
            <w:r w:rsidRPr="00C17D46">
              <w:rPr>
                <w:rFonts w:eastAsia="Calibri"/>
                <w:kern w:val="0"/>
                <w:sz w:val="21"/>
                <w:szCs w:val="21"/>
                <w:lang w:eastAsia="en-US"/>
              </w:rPr>
              <w:t>2</w:t>
            </w:r>
            <w:proofErr w:type="gramEnd"/>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Ед. изм.</w:t>
            </w:r>
          </w:p>
        </w:tc>
        <w:tc>
          <w:tcPr>
            <w:tcW w:w="1588"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Количество</w:t>
            </w:r>
          </w:p>
        </w:tc>
      </w:tr>
      <w:tr w:rsidR="00C46B6D" w:rsidRPr="00C17D46" w:rsidTr="00C46B6D">
        <w:trPr>
          <w:trHeight w:val="2350"/>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 Молоко </w:t>
            </w:r>
          </w:p>
        </w:tc>
        <w:tc>
          <w:tcPr>
            <w:tcW w:w="470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-Коровье питьевое;                              - пастеризованное;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w:t>
            </w:r>
            <w:r w:rsidRPr="00C17D46">
              <w:rPr>
                <w:rFonts w:eastAsia="Calibri"/>
                <w:sz w:val="21"/>
                <w:szCs w:val="21"/>
                <w:lang w:eastAsia="en-US"/>
              </w:rPr>
              <w:t xml:space="preserve"> упаковка: полиэтиленовый пакет;</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фасовка:  не менее 1 л.;</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 - жирность: не менее 2,5 %.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В </w:t>
            </w:r>
            <w:r>
              <w:rPr>
                <w:rFonts w:eastAsia="Calibri"/>
                <w:kern w:val="0"/>
                <w:sz w:val="21"/>
                <w:szCs w:val="21"/>
                <w:lang w:eastAsia="en-US"/>
              </w:rPr>
              <w:t xml:space="preserve">соответствии </w:t>
            </w:r>
            <w:r w:rsidRPr="00ED7C07">
              <w:rPr>
                <w:rFonts w:eastAsia="Calibri"/>
                <w:kern w:val="0"/>
                <w:sz w:val="21"/>
                <w:szCs w:val="21"/>
                <w:lang w:eastAsia="en-US"/>
              </w:rPr>
              <w:t>с ГОСТ 31450-2013,</w:t>
            </w:r>
            <w:r w:rsidRPr="00C17D46">
              <w:rPr>
                <w:rFonts w:eastAsia="Calibri"/>
                <w:kern w:val="0"/>
                <w:sz w:val="21"/>
                <w:szCs w:val="21"/>
                <w:lang w:eastAsia="en-US"/>
              </w:rPr>
              <w:t xml:space="preserve"> сроком годности (хранения) не более 5 суток при температуре от +4  до -2</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10.51.11.110</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46B6D" w:rsidP="00A41F9A">
            <w:pPr>
              <w:rPr>
                <w:rFonts w:eastAsia="Calibri"/>
                <w:kern w:val="0"/>
                <w:sz w:val="21"/>
                <w:szCs w:val="21"/>
                <w:lang w:eastAsia="en-US"/>
              </w:rPr>
            </w:pPr>
            <w:r w:rsidRPr="00C17D46">
              <w:rPr>
                <w:rFonts w:eastAsia="Calibri"/>
                <w:kern w:val="0"/>
                <w:sz w:val="21"/>
                <w:szCs w:val="21"/>
                <w:lang w:eastAsia="en-US"/>
              </w:rPr>
              <w:t>1</w:t>
            </w:r>
            <w:r w:rsidR="00A41F9A">
              <w:rPr>
                <w:rFonts w:eastAsia="Calibri"/>
                <w:kern w:val="0"/>
                <w:sz w:val="21"/>
                <w:szCs w:val="21"/>
                <w:lang w:eastAsia="en-US"/>
              </w:rPr>
              <w:t>830</w:t>
            </w:r>
            <w:r w:rsidRPr="00C17D46">
              <w:rPr>
                <w:rFonts w:eastAsia="Calibri"/>
                <w:kern w:val="0"/>
                <w:sz w:val="21"/>
                <w:szCs w:val="21"/>
                <w:lang w:eastAsia="en-US"/>
              </w:rPr>
              <w:t>,00</w:t>
            </w:r>
          </w:p>
        </w:tc>
      </w:tr>
      <w:tr w:rsidR="00C46B6D" w:rsidRPr="00C17D46" w:rsidTr="00C46B6D">
        <w:trPr>
          <w:trHeight w:val="2809"/>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2</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Масло сладко-сливочное несоленое </w:t>
            </w:r>
          </w:p>
        </w:tc>
        <w:tc>
          <w:tcPr>
            <w:tcW w:w="470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Из коровьего молока;</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жирность: не менее 75,2 %;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упаковка: фольга;</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фасовка:  не менее 180 г.</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В </w:t>
            </w:r>
            <w:r>
              <w:rPr>
                <w:rFonts w:eastAsia="Calibri"/>
                <w:kern w:val="0"/>
                <w:sz w:val="21"/>
                <w:szCs w:val="21"/>
                <w:lang w:eastAsia="en-US"/>
              </w:rPr>
              <w:t xml:space="preserve">соответствии </w:t>
            </w:r>
            <w:r w:rsidRPr="00ED7C07">
              <w:rPr>
                <w:rFonts w:eastAsia="Calibri"/>
                <w:kern w:val="0"/>
                <w:sz w:val="21"/>
                <w:szCs w:val="21"/>
                <w:lang w:eastAsia="en-US"/>
              </w:rPr>
              <w:t>с ГОСТ 32261-2013</w:t>
            </w:r>
            <w:r w:rsidRPr="00C17D46">
              <w:rPr>
                <w:rFonts w:eastAsia="Calibri"/>
                <w:kern w:val="0"/>
                <w:sz w:val="21"/>
                <w:szCs w:val="21"/>
                <w:lang w:eastAsia="en-US"/>
              </w:rPr>
              <w:t>, со сроком годности (хранения) не более 60 суток при температуре от + 6  до -3</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и относительной влажностью воздуха не более 90% и 35 суток при температуре от +3 до -2 и относительной влажности воздуха не более 90%. Доставка 2 раза в неделю. Транспортные расходы - за</w:t>
            </w:r>
            <w:r w:rsidRPr="00C17D46">
              <w:rPr>
                <w:rFonts w:eastAsia="Calibri"/>
                <w:color w:val="000000"/>
                <w:kern w:val="0"/>
                <w:sz w:val="21"/>
                <w:szCs w:val="21"/>
                <w:lang w:eastAsia="en-US"/>
              </w:rPr>
              <w:t xml:space="preserve"> </w:t>
            </w:r>
            <w:r w:rsidRPr="00C17D46">
              <w:rPr>
                <w:rFonts w:eastAsia="Calibri"/>
                <w:kern w:val="0"/>
                <w:sz w:val="21"/>
                <w:szCs w:val="21"/>
                <w:lang w:eastAsia="en-US"/>
              </w:rPr>
              <w:t>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10.51.30.111</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кг</w:t>
            </w:r>
          </w:p>
        </w:tc>
        <w:tc>
          <w:tcPr>
            <w:tcW w:w="1588" w:type="dxa"/>
          </w:tcPr>
          <w:p w:rsidR="00C46B6D" w:rsidRPr="00C17D46" w:rsidRDefault="00C91545" w:rsidP="00C46B6D">
            <w:pPr>
              <w:rPr>
                <w:rFonts w:eastAsia="Calibri"/>
                <w:kern w:val="0"/>
                <w:sz w:val="21"/>
                <w:szCs w:val="21"/>
                <w:lang w:eastAsia="en-US"/>
              </w:rPr>
            </w:pPr>
            <w:r>
              <w:rPr>
                <w:rFonts w:eastAsia="Calibri"/>
                <w:kern w:val="0"/>
                <w:sz w:val="21"/>
                <w:szCs w:val="21"/>
                <w:lang w:eastAsia="en-US"/>
              </w:rPr>
              <w:t>240</w:t>
            </w:r>
            <w:r w:rsidR="00C46B6D" w:rsidRPr="00C17D46">
              <w:rPr>
                <w:rFonts w:eastAsia="Calibri"/>
                <w:kern w:val="0"/>
                <w:sz w:val="21"/>
                <w:szCs w:val="21"/>
                <w:lang w:eastAsia="en-US"/>
              </w:rPr>
              <w:t>,00</w:t>
            </w:r>
          </w:p>
        </w:tc>
      </w:tr>
      <w:tr w:rsidR="00C46B6D" w:rsidRPr="00C17D46" w:rsidTr="00C46B6D">
        <w:trPr>
          <w:trHeight w:val="2100"/>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3</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Кефир </w:t>
            </w:r>
          </w:p>
        </w:tc>
        <w:tc>
          <w:tcPr>
            <w:tcW w:w="470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Из коровьего молока;</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жирность: не менее 2,5 %;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упаковка: полиэтиленовый пакет;</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фасовка:  не менее 0,5 л.;</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В </w:t>
            </w:r>
            <w:r>
              <w:rPr>
                <w:rFonts w:eastAsia="Calibri"/>
                <w:kern w:val="0"/>
                <w:sz w:val="21"/>
                <w:szCs w:val="21"/>
                <w:lang w:eastAsia="en-US"/>
              </w:rPr>
              <w:t xml:space="preserve">соответствии с </w:t>
            </w:r>
            <w:r w:rsidRPr="00ED7C07">
              <w:rPr>
                <w:rFonts w:eastAsia="Calibri"/>
                <w:kern w:val="0"/>
                <w:sz w:val="21"/>
                <w:szCs w:val="21"/>
                <w:lang w:eastAsia="en-US"/>
              </w:rPr>
              <w:t>ГОСТ 31454-2012,</w:t>
            </w:r>
            <w:r w:rsidRPr="00C17D46">
              <w:rPr>
                <w:rFonts w:eastAsia="Calibri"/>
                <w:kern w:val="0"/>
                <w:sz w:val="21"/>
                <w:szCs w:val="21"/>
                <w:lang w:eastAsia="en-US"/>
              </w:rPr>
              <w:t xml:space="preserve"> со сроком годности (хранения) не более 7 суток при температуре от +4  до -2 ˚С.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10.51.52.114</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91545" w:rsidP="00C46B6D">
            <w:pPr>
              <w:rPr>
                <w:rFonts w:eastAsia="Calibri"/>
                <w:kern w:val="0"/>
                <w:sz w:val="21"/>
                <w:szCs w:val="21"/>
                <w:lang w:eastAsia="en-US"/>
              </w:rPr>
            </w:pPr>
            <w:r>
              <w:rPr>
                <w:rFonts w:eastAsia="Calibri"/>
                <w:kern w:val="0"/>
                <w:sz w:val="21"/>
                <w:szCs w:val="21"/>
                <w:lang w:eastAsia="en-US"/>
              </w:rPr>
              <w:t>750</w:t>
            </w:r>
            <w:r w:rsidR="00C46B6D" w:rsidRPr="00C17D46">
              <w:rPr>
                <w:rFonts w:eastAsia="Calibri"/>
                <w:kern w:val="0"/>
                <w:sz w:val="21"/>
                <w:szCs w:val="21"/>
                <w:lang w:eastAsia="en-US"/>
              </w:rPr>
              <w:t>,00</w:t>
            </w:r>
          </w:p>
        </w:tc>
      </w:tr>
      <w:tr w:rsidR="00C46B6D" w:rsidRPr="00C17D46" w:rsidTr="00C46B6D">
        <w:trPr>
          <w:trHeight w:val="1576"/>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4</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Йогурт </w:t>
            </w:r>
          </w:p>
        </w:tc>
        <w:tc>
          <w:tcPr>
            <w:tcW w:w="4704" w:type="dxa"/>
          </w:tcPr>
          <w:p w:rsidR="00C46B6D" w:rsidRPr="007620B1" w:rsidRDefault="00C46B6D" w:rsidP="00C46B6D">
            <w:pPr>
              <w:rPr>
                <w:rFonts w:eastAsia="Calibri"/>
                <w:color w:val="000000"/>
                <w:kern w:val="0"/>
                <w:sz w:val="21"/>
                <w:szCs w:val="21"/>
                <w:lang w:eastAsia="en-US"/>
              </w:rPr>
            </w:pPr>
            <w:r w:rsidRPr="007620B1">
              <w:rPr>
                <w:rFonts w:eastAsia="Calibri"/>
                <w:color w:val="000000"/>
                <w:kern w:val="0"/>
                <w:sz w:val="21"/>
                <w:szCs w:val="21"/>
                <w:lang w:eastAsia="en-US"/>
              </w:rPr>
              <w:t>- Из коровьего молока;</w:t>
            </w:r>
          </w:p>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жирность: не менее 2,5 %;</w:t>
            </w:r>
          </w:p>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упаковка: полиэтиленовый пакет;</w:t>
            </w:r>
          </w:p>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фасовка:  не менее 0,5 л.;</w:t>
            </w:r>
          </w:p>
          <w:p w:rsidR="00C46B6D" w:rsidRPr="00C17D46" w:rsidRDefault="00C46B6D" w:rsidP="00C46B6D">
            <w:pPr>
              <w:rPr>
                <w:rFonts w:eastAsia="Calibri"/>
                <w:kern w:val="0"/>
                <w:sz w:val="21"/>
                <w:szCs w:val="21"/>
                <w:lang w:eastAsia="en-US"/>
              </w:rPr>
            </w:pPr>
            <w:r>
              <w:rPr>
                <w:rFonts w:eastAsia="Calibri"/>
                <w:color w:val="000000"/>
                <w:kern w:val="0"/>
                <w:sz w:val="21"/>
                <w:szCs w:val="21"/>
                <w:lang w:eastAsia="en-US"/>
              </w:rPr>
              <w:t xml:space="preserve">- </w:t>
            </w:r>
            <w:r w:rsidRPr="00C17D46">
              <w:rPr>
                <w:rFonts w:eastAsia="Calibri"/>
                <w:color w:val="000000"/>
                <w:kern w:val="0"/>
                <w:sz w:val="21"/>
                <w:szCs w:val="21"/>
                <w:lang w:eastAsia="en-US"/>
              </w:rPr>
              <w:t>срок годности (хранения) не более 5суток при температуре от +4  до -2 ˚С.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10.51.52.111</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91545" w:rsidP="00C46B6D">
            <w:pPr>
              <w:rPr>
                <w:rFonts w:eastAsia="Calibri"/>
                <w:kern w:val="0"/>
                <w:sz w:val="21"/>
                <w:szCs w:val="21"/>
                <w:lang w:eastAsia="en-US"/>
              </w:rPr>
            </w:pPr>
            <w:r>
              <w:rPr>
                <w:rFonts w:eastAsia="Calibri"/>
                <w:kern w:val="0"/>
                <w:sz w:val="21"/>
                <w:szCs w:val="21"/>
                <w:lang w:eastAsia="en-US"/>
              </w:rPr>
              <w:t>750</w:t>
            </w:r>
            <w:r w:rsidR="00C46B6D" w:rsidRPr="00C17D46">
              <w:rPr>
                <w:rFonts w:eastAsia="Calibri"/>
                <w:kern w:val="0"/>
                <w:sz w:val="21"/>
                <w:szCs w:val="21"/>
                <w:lang w:eastAsia="en-US"/>
              </w:rPr>
              <w:t>,00</w:t>
            </w:r>
          </w:p>
        </w:tc>
      </w:tr>
    </w:tbl>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875342"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875342">
        <w:rPr>
          <w:noProof/>
        </w:rPr>
        <w:drawing>
          <wp:inline distT="0" distB="0" distL="0" distR="0" wp14:anchorId="66CA0FD6" wp14:editId="70CE76EE">
            <wp:extent cx="10180955" cy="37558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3755868"/>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молока и молочной продукции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w:t>
      </w:r>
      <w:r>
        <w:rPr>
          <w:iCs/>
          <w:kern w:val="0"/>
          <w:sz w:val="22"/>
          <w:szCs w:val="22"/>
        </w:rPr>
        <w:t xml:space="preserve">далее именуемый «Заказчик», </w:t>
      </w:r>
      <w:r w:rsidR="00F87B23" w:rsidRPr="00A458A2">
        <w:rPr>
          <w:iCs/>
          <w:kern w:val="0"/>
          <w:sz w:val="22"/>
          <w:szCs w:val="22"/>
        </w:rPr>
        <w:t xml:space="preserve">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с одной стороны, и _____________________, </w:t>
      </w:r>
      <w:r w:rsidR="00F84267" w:rsidRPr="00F84267">
        <w:rPr>
          <w:kern w:val="0"/>
          <w:sz w:val="22"/>
          <w:szCs w:val="22"/>
        </w:rPr>
        <w:t xml:space="preserve">далее именуемый </w:t>
      </w:r>
      <w:r w:rsidR="00F84267" w:rsidRPr="00F84267">
        <w:rPr>
          <w:b/>
          <w:kern w:val="0"/>
          <w:sz w:val="22"/>
          <w:szCs w:val="22"/>
        </w:rPr>
        <w:t>«Поставщик»</w:t>
      </w:r>
      <w:r w:rsidR="00F84267">
        <w:rPr>
          <w:b/>
          <w:kern w:val="0"/>
          <w:sz w:val="22"/>
          <w:szCs w:val="22"/>
        </w:rPr>
        <w:t>,</w:t>
      </w:r>
      <w:r w:rsidR="00F84267" w:rsidRPr="00F84267">
        <w:rPr>
          <w:kern w:val="0"/>
          <w:sz w:val="22"/>
          <w:szCs w:val="22"/>
        </w:rPr>
        <w:t xml:space="preserve"> </w:t>
      </w:r>
      <w:r w:rsidR="00F87B23" w:rsidRPr="00A458A2">
        <w:rPr>
          <w:kern w:val="0"/>
          <w:sz w:val="22"/>
          <w:szCs w:val="22"/>
        </w:rPr>
        <w:t xml:space="preserve"> в лице ____________________, действующего на основании _______________, с другой стороны</w:t>
      </w:r>
      <w:r w:rsidR="00F84267" w:rsidRPr="00F84267">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rPr>
        <w:t xml:space="preserve"> для обеспечения государственных и муниципальных нужд"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5E23EC">
        <w:rPr>
          <w:kern w:val="0"/>
          <w:sz w:val="22"/>
          <w:szCs w:val="22"/>
        </w:rPr>
        <w:t>6</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молок</w:t>
      </w:r>
      <w:r w:rsidR="00F84267">
        <w:rPr>
          <w:bCs/>
          <w:kern w:val="0"/>
          <w:sz w:val="22"/>
          <w:szCs w:val="22"/>
        </w:rPr>
        <w:t>о</w:t>
      </w:r>
      <w:r w:rsidR="005E23EC">
        <w:rPr>
          <w:bCs/>
          <w:kern w:val="0"/>
          <w:sz w:val="22"/>
          <w:szCs w:val="22"/>
        </w:rPr>
        <w:t xml:space="preserve"> и молочную</w:t>
      </w:r>
      <w:r w:rsidR="00F84267" w:rsidRPr="00F84267">
        <w:rPr>
          <w:bCs/>
          <w:kern w:val="0"/>
          <w:sz w:val="22"/>
          <w:szCs w:val="22"/>
        </w:rPr>
        <w:t xml:space="preserve"> продукции для нужд Муниципального казенного учреждения для </w:t>
      </w:r>
      <w:r w:rsidR="00551155">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7620B1">
        <w:rPr>
          <w:sz w:val="22"/>
          <w:szCs w:val="22"/>
        </w:rPr>
        <w:t xml:space="preserve">до </w:t>
      </w:r>
      <w:r w:rsidR="00A32D91" w:rsidRPr="007620B1">
        <w:rPr>
          <w:sz w:val="22"/>
          <w:szCs w:val="22"/>
        </w:rPr>
        <w:t>3</w:t>
      </w:r>
      <w:r w:rsidR="00C17D46" w:rsidRPr="007620B1">
        <w:rPr>
          <w:sz w:val="22"/>
          <w:szCs w:val="22"/>
        </w:rPr>
        <w:t>1</w:t>
      </w:r>
      <w:r w:rsidRPr="007620B1">
        <w:rPr>
          <w:sz w:val="22"/>
          <w:szCs w:val="22"/>
        </w:rPr>
        <w:t xml:space="preserve"> </w:t>
      </w:r>
      <w:r w:rsidR="00CC2E74">
        <w:rPr>
          <w:sz w:val="22"/>
          <w:szCs w:val="22"/>
        </w:rPr>
        <w:t>декабря</w:t>
      </w:r>
      <w:r w:rsidRPr="007620B1">
        <w:rPr>
          <w:sz w:val="22"/>
          <w:szCs w:val="22"/>
        </w:rPr>
        <w:t xml:space="preserve"> 201</w:t>
      </w:r>
      <w:r w:rsidR="00C17D46" w:rsidRPr="007620B1">
        <w:rPr>
          <w:sz w:val="22"/>
          <w:szCs w:val="22"/>
        </w:rPr>
        <w:t>6</w:t>
      </w:r>
      <w:r w:rsidRPr="007620B1">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703189">
        <w:rPr>
          <w:rFonts w:eastAsia="Calibri"/>
          <w:bCs/>
          <w:sz w:val="22"/>
          <w:szCs w:val="22"/>
          <w:lang w:eastAsia="en-US"/>
        </w:rPr>
        <w:t>2.3.</w:t>
      </w:r>
      <w:r w:rsidR="00297FC0" w:rsidRPr="00703189">
        <w:t xml:space="preserve"> </w:t>
      </w:r>
      <w:r w:rsidR="00297FC0"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703189" w:rsidRPr="00703189">
        <w:rPr>
          <w:rFonts w:eastAsia="Calibri"/>
          <w:bCs/>
          <w:sz w:val="22"/>
          <w:szCs w:val="22"/>
          <w:lang w:eastAsia="en-US"/>
        </w:rPr>
        <w:t>е</w:t>
      </w:r>
      <w:r w:rsidR="00297FC0" w:rsidRPr="00703189">
        <w:rPr>
          <w:rFonts w:eastAsia="Calibri"/>
          <w:bCs/>
          <w:sz w:val="22"/>
          <w:szCs w:val="22"/>
          <w:lang w:eastAsia="en-US"/>
        </w:rPr>
        <w:t>.</w:t>
      </w:r>
      <w:r w:rsidR="00836725"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w:t>
      </w:r>
      <w:r w:rsidR="00CC2E74">
        <w:rPr>
          <w:kern w:val="0"/>
          <w:sz w:val="22"/>
          <w:szCs w:val="22"/>
        </w:rPr>
        <w:t>свежим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Поставка (транспортировка), разгрузка осуществляется </w:t>
      </w:r>
      <w:r w:rsidR="00BB27D0" w:rsidRPr="007620B1">
        <w:rPr>
          <w:kern w:val="0"/>
          <w:sz w:val="22"/>
          <w:szCs w:val="22"/>
        </w:rPr>
        <w:t xml:space="preserve">два раза в неделю </w:t>
      </w:r>
      <w:r w:rsidRPr="007620B1">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w:t>
      </w:r>
      <w:r w:rsidRPr="00A458A2">
        <w:rPr>
          <w:kern w:val="0"/>
          <w:sz w:val="22"/>
          <w:szCs w:val="22"/>
        </w:rPr>
        <w:lastRenderedPageBreak/>
        <w:t xml:space="preserve">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Качество Товара должно соответствовать требованиям решения Комиссии Таможенного союза от 28.05.2010 № 299 «О применении санитарных мер в таможенном союзе</w:t>
      </w:r>
      <w:r w:rsidRPr="00ED7C07">
        <w:rPr>
          <w:kern w:val="0"/>
          <w:szCs w:val="24"/>
        </w:rPr>
        <w:t xml:space="preserve">», </w:t>
      </w:r>
      <w:r w:rsidR="005102BB" w:rsidRPr="00ED7C07">
        <w:rPr>
          <w:kern w:val="0"/>
          <w:szCs w:val="24"/>
        </w:rPr>
        <w:t>решения Совета Евразийской экономической комиссии № 64 от 09.10.2013 г. «О техническом регламенте Таможенного союза «О безопасности молока и молочной продукции» (</w:t>
      </w:r>
      <w:proofErr w:type="gramStart"/>
      <w:r w:rsidR="005102BB" w:rsidRPr="00ED7C07">
        <w:rPr>
          <w:kern w:val="0"/>
          <w:szCs w:val="24"/>
        </w:rPr>
        <w:t>ТР</w:t>
      </w:r>
      <w:proofErr w:type="gramEnd"/>
      <w:r w:rsidR="005102BB" w:rsidRPr="00ED7C07">
        <w:rPr>
          <w:kern w:val="0"/>
          <w:szCs w:val="24"/>
        </w:rPr>
        <w:t xml:space="preserve"> ТС 033/2013)</w:t>
      </w:r>
      <w:r w:rsidRPr="00ED7C07">
        <w:rPr>
          <w:kern w:val="0"/>
          <w:szCs w:val="24"/>
        </w:rPr>
        <w:t>,</w:t>
      </w:r>
      <w:r w:rsidRPr="00E94674">
        <w:rPr>
          <w:kern w:val="0"/>
          <w:szCs w:val="24"/>
        </w:rPr>
        <w:t xml:space="preserve"> а также другим требованиям законодательства, установленным к Товару. </w:t>
      </w:r>
    </w:p>
    <w:p w:rsid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85BB1" w:rsidRDefault="00685BB1" w:rsidP="00E94674">
      <w:pPr>
        <w:widowControl w:val="0"/>
        <w:ind w:firstLine="709"/>
        <w:jc w:val="both"/>
        <w:rPr>
          <w:kern w:val="0"/>
          <w:szCs w:val="24"/>
        </w:rPr>
      </w:pPr>
      <w:r w:rsidRPr="00685BB1">
        <w:rPr>
          <w:kern w:val="0"/>
          <w:szCs w:val="24"/>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685BB1">
        <w:rPr>
          <w:kern w:val="0"/>
          <w:szCs w:val="24"/>
        </w:rPr>
        <w:t>срока годности Товара существенного нарушения требований</w:t>
      </w:r>
      <w:proofErr w:type="gramEnd"/>
      <w:r w:rsidRPr="00685BB1">
        <w:rPr>
          <w:kern w:val="0"/>
          <w:szCs w:val="24"/>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w:t>
      </w:r>
    </w:p>
    <w:p w:rsidR="00284B18" w:rsidRPr="00E94674" w:rsidRDefault="00284B18" w:rsidP="00E94674">
      <w:pPr>
        <w:widowControl w:val="0"/>
        <w:ind w:firstLine="709"/>
        <w:jc w:val="both"/>
        <w:rPr>
          <w:kern w:val="0"/>
          <w:szCs w:val="24"/>
        </w:rPr>
      </w:pPr>
      <w:r>
        <w:rPr>
          <w:kern w:val="0"/>
          <w:szCs w:val="24"/>
        </w:rPr>
        <w:t xml:space="preserve"> </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685BB1" w:rsidRDefault="00685BB1"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lastRenderedPageBreak/>
        <w:t xml:space="preserve">*Размер штрафа включается в </w:t>
      </w:r>
      <w:r w:rsidR="00E94674">
        <w:rPr>
          <w:sz w:val="22"/>
          <w:szCs w:val="22"/>
        </w:rPr>
        <w:t>Контракт</w:t>
      </w:r>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5102B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7620B1">
        <w:rPr>
          <w:kern w:val="0"/>
          <w:sz w:val="22"/>
          <w:szCs w:val="22"/>
        </w:rPr>
        <w:t xml:space="preserve">составляет   </w:t>
      </w:r>
      <w:r w:rsidRPr="007620B1">
        <w:rPr>
          <w:b/>
          <w:kern w:val="0"/>
          <w:sz w:val="22"/>
          <w:szCs w:val="22"/>
        </w:rPr>
        <w:t xml:space="preserve"> </w:t>
      </w:r>
      <w:r w:rsidR="00685BB1">
        <w:rPr>
          <w:b/>
          <w:kern w:val="0"/>
          <w:sz w:val="22"/>
          <w:szCs w:val="22"/>
        </w:rPr>
        <w:t>11832,78</w:t>
      </w:r>
      <w:r w:rsidR="00CF25DE" w:rsidRPr="007620B1">
        <w:rPr>
          <w:b/>
          <w:kern w:val="0"/>
          <w:sz w:val="22"/>
          <w:szCs w:val="22"/>
        </w:rPr>
        <w:t xml:space="preserve"> </w:t>
      </w:r>
      <w:r w:rsidRPr="007620B1">
        <w:rPr>
          <w:b/>
          <w:kern w:val="0"/>
          <w:sz w:val="22"/>
          <w:szCs w:val="22"/>
        </w:rPr>
        <w:t>(</w:t>
      </w:r>
      <w:r w:rsidR="00685BB1">
        <w:rPr>
          <w:b/>
          <w:kern w:val="0"/>
          <w:sz w:val="22"/>
          <w:szCs w:val="22"/>
        </w:rPr>
        <w:t>Одиннадцать тысяч восемьсот тридцать два</w:t>
      </w:r>
      <w:r w:rsidRPr="007620B1">
        <w:rPr>
          <w:b/>
          <w:kern w:val="0"/>
          <w:sz w:val="22"/>
          <w:szCs w:val="22"/>
        </w:rPr>
        <w:t>) рубл</w:t>
      </w:r>
      <w:r w:rsidR="00685BB1">
        <w:rPr>
          <w:b/>
          <w:kern w:val="0"/>
          <w:sz w:val="22"/>
          <w:szCs w:val="22"/>
        </w:rPr>
        <w:t>я 78</w:t>
      </w:r>
      <w:r w:rsidRPr="007620B1">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Ind w:w="392" w:type="dxa"/>
        <w:tblLayout w:type="fixed"/>
        <w:tblLook w:val="04A0" w:firstRow="1" w:lastRow="0" w:firstColumn="1" w:lastColumn="0" w:noHBand="0" w:noVBand="1"/>
      </w:tblPr>
      <w:tblGrid>
        <w:gridCol w:w="2082"/>
        <w:gridCol w:w="8124"/>
      </w:tblGrid>
      <w:tr w:rsidR="00C17D46" w:rsidRPr="00E12617" w:rsidTr="00011C9A">
        <w:tc>
          <w:tcPr>
            <w:tcW w:w="2082"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011C9A" w:rsidP="00011C9A">
            <w:pPr>
              <w:ind w:firstLine="78"/>
              <w:jc w:val="both"/>
              <w:rPr>
                <w:kern w:val="0"/>
                <w:sz w:val="20"/>
              </w:rPr>
            </w:pPr>
            <w:r w:rsidRPr="00E12617">
              <w:rPr>
                <w:kern w:val="0"/>
                <w:sz w:val="20"/>
              </w:rPr>
              <w:t>ОТДЕЛЕНИЕ – НБ УДМУРТСКАЯ РЕСПУБЛИКА Г. ИЖЕВСК</w:t>
            </w:r>
          </w:p>
        </w:tc>
      </w:tr>
      <w:tr w:rsidR="00C17D46" w:rsidRPr="00E12617" w:rsidTr="00011C9A">
        <w:tc>
          <w:tcPr>
            <w:tcW w:w="2082"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011C9A">
            <w:pPr>
              <w:ind w:firstLine="78"/>
              <w:jc w:val="both"/>
              <w:rPr>
                <w:kern w:val="0"/>
                <w:sz w:val="20"/>
              </w:rPr>
            </w:pPr>
            <w:r w:rsidRPr="00E12617">
              <w:rPr>
                <w:kern w:val="0"/>
                <w:sz w:val="20"/>
              </w:rPr>
              <w:t>049401001</w:t>
            </w:r>
          </w:p>
        </w:tc>
      </w:tr>
      <w:tr w:rsidR="00C17D46" w:rsidRPr="00E12617" w:rsidTr="00011C9A">
        <w:tc>
          <w:tcPr>
            <w:tcW w:w="2082"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011C9A">
            <w:pPr>
              <w:ind w:firstLine="78"/>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011C9A">
        <w:tc>
          <w:tcPr>
            <w:tcW w:w="2082"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011C9A">
            <w:pPr>
              <w:ind w:firstLine="78"/>
              <w:jc w:val="both"/>
              <w:rPr>
                <w:kern w:val="0"/>
                <w:sz w:val="20"/>
              </w:rPr>
            </w:pPr>
            <w:r w:rsidRPr="00E12617">
              <w:rPr>
                <w:kern w:val="0"/>
                <w:sz w:val="20"/>
              </w:rPr>
              <w:t>1815002227 / 183701001</w:t>
            </w:r>
          </w:p>
        </w:tc>
      </w:tr>
      <w:tr w:rsidR="00C17D46" w:rsidRPr="00E12617" w:rsidTr="00011C9A">
        <w:tc>
          <w:tcPr>
            <w:tcW w:w="2082"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011C9A">
            <w:pPr>
              <w:ind w:firstLine="78"/>
              <w:jc w:val="both"/>
              <w:rPr>
                <w:kern w:val="0"/>
                <w:sz w:val="20"/>
              </w:rPr>
            </w:pPr>
            <w:r w:rsidRPr="00E12617">
              <w:rPr>
                <w:kern w:val="0"/>
                <w:sz w:val="20"/>
              </w:rPr>
              <w:t>40302810294013000127</w:t>
            </w:r>
          </w:p>
        </w:tc>
      </w:tr>
      <w:tr w:rsidR="00C17D46" w:rsidRPr="00E12617" w:rsidTr="00011C9A">
        <w:tc>
          <w:tcPr>
            <w:tcW w:w="2082"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011C9A">
            <w:pPr>
              <w:ind w:firstLine="78"/>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011C9A" w:rsidRDefault="00011C9A"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011C9A">
        <w:rPr>
          <w:rFonts w:eastAsia="Calibri"/>
          <w:bCs/>
          <w:sz w:val="22"/>
          <w:szCs w:val="22"/>
          <w:lang w:eastAsia="en-US"/>
        </w:rPr>
        <w:t>1 января 2017</w:t>
      </w:r>
      <w:r w:rsidR="00DD293F" w:rsidRPr="007620B1">
        <w:rPr>
          <w:rFonts w:eastAsia="Calibri"/>
          <w:bCs/>
          <w:sz w:val="22"/>
          <w:szCs w:val="22"/>
          <w:lang w:eastAsia="en-US"/>
        </w:rPr>
        <w:t xml:space="preserve"> года</w:t>
      </w:r>
      <w:r w:rsidR="00DD293F" w:rsidRPr="007620B1">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011C9A"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r w:rsidR="004F2CA6">
        <w:rPr>
          <w:b/>
          <w:bCs/>
          <w:color w:val="000000"/>
          <w:kern w:val="0"/>
          <w:sz w:val="20"/>
        </w:rPr>
        <w:t xml:space="preserve">                                                                                       </w:t>
      </w:r>
      <w:r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lastRenderedPageBreak/>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12617" w:rsidRPr="00E12617">
        <w:rPr>
          <w:sz w:val="20"/>
        </w:rPr>
        <w:t xml:space="preserve">молока и молочной продукции 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hideMark/>
          </w:tcPr>
          <w:p w:rsidR="00EC70A2" w:rsidRPr="00DF6D4D" w:rsidRDefault="00EC70A2" w:rsidP="00EC70A2">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 Молоко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-Коровье питьевое;                              - пастеризованное;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w:t>
            </w:r>
            <w:r w:rsidRPr="00C17D46">
              <w:rPr>
                <w:rFonts w:eastAsia="Calibri"/>
                <w:sz w:val="21"/>
                <w:szCs w:val="21"/>
                <w:lang w:eastAsia="en-US"/>
              </w:rPr>
              <w:t xml:space="preserve"> упаковка: полиэтиленовый пакет;</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1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 - жирность: не менее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w:t>
            </w:r>
            <w:r w:rsidR="005102BB">
              <w:rPr>
                <w:rFonts w:eastAsia="Calibri"/>
                <w:kern w:val="0"/>
                <w:sz w:val="21"/>
                <w:szCs w:val="21"/>
                <w:lang w:eastAsia="en-US"/>
              </w:rPr>
              <w:t xml:space="preserve">соответствии </w:t>
            </w:r>
            <w:r w:rsidR="005102BB" w:rsidRPr="00ED7C07">
              <w:rPr>
                <w:rFonts w:eastAsia="Calibri"/>
                <w:kern w:val="0"/>
                <w:sz w:val="21"/>
                <w:szCs w:val="21"/>
                <w:lang w:eastAsia="en-US"/>
              </w:rPr>
              <w:t>с ГОСТ 31450-2013</w:t>
            </w:r>
            <w:r w:rsidRPr="00C17D46">
              <w:rPr>
                <w:rFonts w:eastAsia="Calibri"/>
                <w:kern w:val="0"/>
                <w:sz w:val="21"/>
                <w:szCs w:val="21"/>
                <w:lang w:eastAsia="en-US"/>
              </w:rPr>
              <w:t>, сроком годности (хранения) не более 5 суток при температуре от +4  до -2</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hideMark/>
          </w:tcPr>
          <w:p w:rsidR="00EC70A2" w:rsidRPr="00C17D46" w:rsidRDefault="00EC70A2" w:rsidP="005102BB">
            <w:pPr>
              <w:rPr>
                <w:rFonts w:eastAsia="Calibri"/>
                <w:kern w:val="0"/>
                <w:sz w:val="21"/>
                <w:szCs w:val="21"/>
                <w:lang w:eastAsia="en-US"/>
              </w:rPr>
            </w:pPr>
            <w:r w:rsidRPr="00C17D46">
              <w:rPr>
                <w:rFonts w:eastAsia="Calibri"/>
                <w:kern w:val="0"/>
                <w:sz w:val="21"/>
                <w:szCs w:val="21"/>
                <w:lang w:eastAsia="en-US"/>
              </w:rPr>
              <w:t xml:space="preserve"> </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Масло сладко-сливочное несоленое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не менее 75,2 %;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фольга;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180 г.</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w:t>
            </w:r>
            <w:r w:rsidR="005102BB">
              <w:rPr>
                <w:rFonts w:eastAsia="Calibri"/>
                <w:kern w:val="0"/>
                <w:sz w:val="21"/>
                <w:szCs w:val="21"/>
                <w:lang w:eastAsia="en-US"/>
              </w:rPr>
              <w:t xml:space="preserve">соответствии </w:t>
            </w:r>
            <w:r w:rsidR="005102BB" w:rsidRPr="00ED7C07">
              <w:rPr>
                <w:rFonts w:eastAsia="Calibri"/>
                <w:kern w:val="0"/>
                <w:sz w:val="21"/>
                <w:szCs w:val="21"/>
                <w:lang w:eastAsia="en-US"/>
              </w:rPr>
              <w:t>с ГОСТ 32261-2013</w:t>
            </w:r>
            <w:r w:rsidRPr="00C17D46">
              <w:rPr>
                <w:rFonts w:eastAsia="Calibri"/>
                <w:kern w:val="0"/>
                <w:sz w:val="21"/>
                <w:szCs w:val="21"/>
                <w:lang w:eastAsia="en-US"/>
              </w:rPr>
              <w:t>, со сроком годности (хранения) не более 60 суток при температуре от + 6  до -3</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и относительной влажностью воздуха не </w:t>
            </w:r>
            <w:r w:rsidRPr="00C17D46">
              <w:rPr>
                <w:rFonts w:eastAsia="Calibri"/>
                <w:kern w:val="0"/>
                <w:sz w:val="21"/>
                <w:szCs w:val="21"/>
                <w:lang w:eastAsia="en-US"/>
              </w:rPr>
              <w:lastRenderedPageBreak/>
              <w:t>более 90% и 35 суток при температуре от +3 до -2 и относительной влажности воздуха не более 90%. Доставка 2 раза в неделю. Транспортные расходы - за</w:t>
            </w:r>
            <w:r w:rsidRPr="00C17D46">
              <w:rPr>
                <w:rFonts w:eastAsia="Calibri"/>
                <w:color w:val="000000"/>
                <w:kern w:val="0"/>
                <w:sz w:val="21"/>
                <w:szCs w:val="21"/>
                <w:lang w:eastAsia="en-US"/>
              </w:rPr>
              <w:t xml:space="preserve"> </w:t>
            </w:r>
            <w:r w:rsidRPr="00C17D46">
              <w:rPr>
                <w:rFonts w:eastAsia="Calibri"/>
                <w:kern w:val="0"/>
                <w:sz w:val="21"/>
                <w:szCs w:val="21"/>
                <w:lang w:eastAsia="en-US"/>
              </w:rPr>
              <w:t>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Кефир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не менее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полиэтиленовый пакет;</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0,5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w:t>
            </w:r>
            <w:r w:rsidR="005102BB">
              <w:rPr>
                <w:rFonts w:eastAsia="Calibri"/>
                <w:kern w:val="0"/>
                <w:sz w:val="21"/>
                <w:szCs w:val="21"/>
                <w:lang w:eastAsia="en-US"/>
              </w:rPr>
              <w:t xml:space="preserve">соответствии с </w:t>
            </w:r>
            <w:r w:rsidR="005102BB" w:rsidRPr="00ED7C07">
              <w:rPr>
                <w:rFonts w:eastAsia="Calibri"/>
                <w:kern w:val="0"/>
                <w:sz w:val="21"/>
                <w:szCs w:val="21"/>
                <w:lang w:eastAsia="en-US"/>
              </w:rPr>
              <w:t>ГОСТ 31454-2012</w:t>
            </w:r>
            <w:r w:rsidRPr="00C17D46">
              <w:rPr>
                <w:rFonts w:eastAsia="Calibri"/>
                <w:kern w:val="0"/>
                <w:sz w:val="21"/>
                <w:szCs w:val="21"/>
                <w:lang w:eastAsia="en-US"/>
              </w:rPr>
              <w:t>, со сроком годности (хранения) не более 7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4</w:t>
            </w:r>
          </w:p>
        </w:tc>
        <w:tc>
          <w:tcPr>
            <w:tcW w:w="719" w:type="pct"/>
            <w:tcBorders>
              <w:top w:val="single" w:sz="4" w:space="0" w:color="auto"/>
              <w:left w:val="single" w:sz="4" w:space="0" w:color="auto"/>
              <w:bottom w:val="single" w:sz="4" w:space="0" w:color="auto"/>
              <w:right w:val="single" w:sz="4" w:space="0" w:color="auto"/>
            </w:tcBorders>
          </w:tcPr>
          <w:p w:rsidR="00EC70A2" w:rsidRDefault="00EC70A2" w:rsidP="00EC70A2">
            <w:r w:rsidRPr="001F075E">
              <w:t xml:space="preserve">Йогурт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rFonts w:eastAsia="Calibri"/>
                <w:color w:val="000000"/>
                <w:kern w:val="0"/>
                <w:sz w:val="21"/>
                <w:szCs w:val="21"/>
                <w:lang w:eastAsia="en-US"/>
              </w:rPr>
            </w:pPr>
            <w:r w:rsidRPr="00EC70A2">
              <w:rPr>
                <w:rFonts w:eastAsia="Calibri"/>
                <w:color w:val="000000"/>
                <w:kern w:val="0"/>
                <w:sz w:val="21"/>
                <w:szCs w:val="21"/>
                <w:lang w:eastAsia="en-US"/>
              </w:rPr>
              <w:t>- Из коровьего молока;</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жирность: не менее 2,5 %;</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упаковка: полиэтиленовый пакет;</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фасовка:  не менее 0,5 л.;</w:t>
            </w:r>
          </w:p>
          <w:p w:rsidR="00EC70A2" w:rsidRPr="00C17D46" w:rsidRDefault="007620B1" w:rsidP="007620B1">
            <w:pPr>
              <w:rPr>
                <w:rFonts w:eastAsia="Calibri"/>
                <w:kern w:val="0"/>
                <w:sz w:val="21"/>
                <w:szCs w:val="21"/>
                <w:lang w:eastAsia="en-US"/>
              </w:rPr>
            </w:pPr>
            <w:r>
              <w:rPr>
                <w:rFonts w:eastAsia="Calibri"/>
                <w:color w:val="000000"/>
                <w:kern w:val="0"/>
                <w:sz w:val="21"/>
                <w:szCs w:val="21"/>
                <w:lang w:eastAsia="en-US"/>
              </w:rPr>
              <w:t>-</w:t>
            </w:r>
            <w:r w:rsidR="00EC70A2" w:rsidRPr="00C17D46">
              <w:rPr>
                <w:rFonts w:eastAsia="Calibri"/>
                <w:color w:val="000000"/>
                <w:kern w:val="0"/>
                <w:sz w:val="21"/>
                <w:szCs w:val="21"/>
                <w:lang w:eastAsia="en-US"/>
              </w:rPr>
              <w:t xml:space="preserve"> срок годности (хранения) не более 5суток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12617">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B0" w:rsidRDefault="009701B0">
      <w:r>
        <w:separator/>
      </w:r>
    </w:p>
  </w:endnote>
  <w:endnote w:type="continuationSeparator" w:id="0">
    <w:p w:rsidR="009701B0" w:rsidRDefault="0097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33" w:rsidRDefault="001F0D33">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33" w:rsidRDefault="001F0D33">
    <w:pPr>
      <w:jc w:val="center"/>
      <w:rPr>
        <w:szCs w:val="24"/>
      </w:rPr>
    </w:pPr>
    <w:r>
      <w:rPr>
        <w:szCs w:val="24"/>
      </w:rPr>
      <w:t xml:space="preserve">  </w:t>
    </w:r>
  </w:p>
  <w:p w:rsidR="001F0D33" w:rsidRDefault="001F0D3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B0" w:rsidRDefault="009701B0">
      <w:r>
        <w:separator/>
      </w:r>
    </w:p>
  </w:footnote>
  <w:footnote w:type="continuationSeparator" w:id="0">
    <w:p w:rsidR="009701B0" w:rsidRDefault="00970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33" w:rsidRDefault="001F0D3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C9A"/>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0201"/>
    <w:rsid w:val="00104EEE"/>
    <w:rsid w:val="00117444"/>
    <w:rsid w:val="00117E6E"/>
    <w:rsid w:val="00123F05"/>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390F"/>
    <w:rsid w:val="001A6DE0"/>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D33"/>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70428"/>
    <w:rsid w:val="00272E0C"/>
    <w:rsid w:val="00273CF4"/>
    <w:rsid w:val="00276E15"/>
    <w:rsid w:val="002770C1"/>
    <w:rsid w:val="002810AF"/>
    <w:rsid w:val="00284B18"/>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02BB"/>
    <w:rsid w:val="0051533D"/>
    <w:rsid w:val="00516B64"/>
    <w:rsid w:val="0053562D"/>
    <w:rsid w:val="00537C03"/>
    <w:rsid w:val="005405BD"/>
    <w:rsid w:val="00542E6B"/>
    <w:rsid w:val="00543A3A"/>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5BB1"/>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6183"/>
    <w:rsid w:val="00747EC4"/>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75342"/>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1B0"/>
    <w:rsid w:val="00970C30"/>
    <w:rsid w:val="009713EC"/>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522"/>
    <w:rsid w:val="009B1F3A"/>
    <w:rsid w:val="009B2DDF"/>
    <w:rsid w:val="009B5620"/>
    <w:rsid w:val="009D187A"/>
    <w:rsid w:val="009D2742"/>
    <w:rsid w:val="009D2E41"/>
    <w:rsid w:val="009D457E"/>
    <w:rsid w:val="009E14D1"/>
    <w:rsid w:val="009E6265"/>
    <w:rsid w:val="009E7E45"/>
    <w:rsid w:val="00A02692"/>
    <w:rsid w:val="00A0409D"/>
    <w:rsid w:val="00A04C9A"/>
    <w:rsid w:val="00A142FD"/>
    <w:rsid w:val="00A175D8"/>
    <w:rsid w:val="00A259A2"/>
    <w:rsid w:val="00A25F66"/>
    <w:rsid w:val="00A3046C"/>
    <w:rsid w:val="00A32D91"/>
    <w:rsid w:val="00A40ADD"/>
    <w:rsid w:val="00A41F9A"/>
    <w:rsid w:val="00A422E1"/>
    <w:rsid w:val="00A45701"/>
    <w:rsid w:val="00A458A2"/>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28E1"/>
    <w:rsid w:val="00AF4FFB"/>
    <w:rsid w:val="00AF5970"/>
    <w:rsid w:val="00AF630E"/>
    <w:rsid w:val="00AF78C8"/>
    <w:rsid w:val="00AF7A01"/>
    <w:rsid w:val="00B01F92"/>
    <w:rsid w:val="00B03CCB"/>
    <w:rsid w:val="00B1035C"/>
    <w:rsid w:val="00B1788D"/>
    <w:rsid w:val="00B26BBA"/>
    <w:rsid w:val="00B27B4E"/>
    <w:rsid w:val="00B3598B"/>
    <w:rsid w:val="00B512FC"/>
    <w:rsid w:val="00B531A1"/>
    <w:rsid w:val="00B55CB5"/>
    <w:rsid w:val="00B56351"/>
    <w:rsid w:val="00B64673"/>
    <w:rsid w:val="00B652C1"/>
    <w:rsid w:val="00B6603C"/>
    <w:rsid w:val="00B75F05"/>
    <w:rsid w:val="00B81FEF"/>
    <w:rsid w:val="00B849BE"/>
    <w:rsid w:val="00B91673"/>
    <w:rsid w:val="00B95900"/>
    <w:rsid w:val="00BA3D14"/>
    <w:rsid w:val="00BA4080"/>
    <w:rsid w:val="00BA6854"/>
    <w:rsid w:val="00BB27D0"/>
    <w:rsid w:val="00BB50EF"/>
    <w:rsid w:val="00BB67FC"/>
    <w:rsid w:val="00BB7139"/>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46B6D"/>
    <w:rsid w:val="00C47020"/>
    <w:rsid w:val="00C53CED"/>
    <w:rsid w:val="00C53FB3"/>
    <w:rsid w:val="00C64A7F"/>
    <w:rsid w:val="00C6516D"/>
    <w:rsid w:val="00C6548D"/>
    <w:rsid w:val="00C672F3"/>
    <w:rsid w:val="00C721FF"/>
    <w:rsid w:val="00C739EA"/>
    <w:rsid w:val="00C76497"/>
    <w:rsid w:val="00C8012F"/>
    <w:rsid w:val="00C80D1A"/>
    <w:rsid w:val="00C87258"/>
    <w:rsid w:val="00C90417"/>
    <w:rsid w:val="00C91545"/>
    <w:rsid w:val="00CA0F68"/>
    <w:rsid w:val="00CA3C04"/>
    <w:rsid w:val="00CA40A1"/>
    <w:rsid w:val="00CB1548"/>
    <w:rsid w:val="00CB6CE2"/>
    <w:rsid w:val="00CC2E74"/>
    <w:rsid w:val="00CC3FF5"/>
    <w:rsid w:val="00CC4A82"/>
    <w:rsid w:val="00CC55BA"/>
    <w:rsid w:val="00CD5425"/>
    <w:rsid w:val="00CF25DE"/>
    <w:rsid w:val="00CF79D9"/>
    <w:rsid w:val="00D023A6"/>
    <w:rsid w:val="00D11255"/>
    <w:rsid w:val="00D1561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D1A6E"/>
    <w:rsid w:val="00DD1BAF"/>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5D45"/>
    <w:rsid w:val="00F779F4"/>
    <w:rsid w:val="00F800A0"/>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097F"/>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9AF97-3F00-4419-8DC6-46651DAE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11036</Words>
  <Characters>62907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16</cp:revision>
  <cp:lastPrinted>2015-06-18T06:04:00Z</cp:lastPrinted>
  <dcterms:created xsi:type="dcterms:W3CDTF">2016-02-11T11:18:00Z</dcterms:created>
  <dcterms:modified xsi:type="dcterms:W3CDTF">2016-04-15T04:20:00Z</dcterms:modified>
</cp:coreProperties>
</file>