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НОВЫЕ ИЗМЕНЕНИЯ В ТРУДОВОМ ЗАКОНОДАТЕЛЬСТВЕ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color w:val="000000" w:themeColor="text1"/>
          <w:sz w:val="28"/>
          <w:szCs w:val="28"/>
        </w:rPr>
      </w:r>
    </w:p>
    <w:p>
      <w:pPr>
        <w:pStyle w:val="856"/>
        <w:contextualSpacing/>
        <w:ind w:left="0" w:right="0" w:firstLine="567"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В 2025-2026 ГОДАХ </w:t>
      </w:r>
      <w:bookmarkStart w:id="0" w:name="undefined"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bookmarkEnd w:id="0"/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Принято Региональное соглашение о минимальной заработной плате в Удмуртской Республике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eastAsia="PT Astra Serif" w:cs="PT Astra Serif"/>
                <w:b/>
                <w:bCs/>
                <w:i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Региональное соглашение о минимальной заработной плате в Удмуртской Республике</w:t>
            </w:r>
            <w:r>
              <w:rPr>
                <w:rFonts w:ascii="PT Astra Serif" w:hAnsi="PT Astra Serif" w:eastAsia="PT Astra Serif" w:cs="PT Astra Serif"/>
                <w:b/>
                <w:bCs/>
                <w:i/>
                <w:color w:val="000000"/>
                <w:sz w:val="28"/>
                <w:szCs w:val="28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i/>
                <w:color w:val="000000"/>
                <w:sz w:val="28"/>
                <w:szCs w:val="28"/>
                <w14:ligatures w14:val="none"/>
              </w:rPr>
            </w:r>
          </w:p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(заключено  23.01.2026 № АБ-01-85/1)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z w:val="28"/>
          <w:szCs w:val="28"/>
          <w:highlight w:val="none"/>
        </w:rPr>
        <w:t xml:space="preserve">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z w:val="28"/>
          <w:szCs w:val="28"/>
          <w:highlight w:val="none"/>
        </w:rPr>
        <w:t xml:space="preserve"> 1 января 2026 года минимальная месячная заработная плата работника, работающего на территории Удмуртской Республики и состоящего в трудовых отношениях с работодателем (за исключением работника организации, финансируемой из федерального бюджета), должна бы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z w:val="28"/>
          <w:szCs w:val="28"/>
          <w:highlight w:val="none"/>
        </w:rPr>
        <w:t xml:space="preserve">ть не ниже 27093 рублей (с учетом районного коэффициента - 31156 рублей 95 копеек) при условии, что работником полностью отработана за этот период норма рабочего времени и выполнены нормы труда (трудовые обязанности).</w:t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z w:val="28"/>
          <w:szCs w:val="28"/>
          <w:highlight w:val="none"/>
        </w:rPr>
        <w:t xml:space="preserve">Также Региональным соглашением определен перечень выплат, не включенных в минимальную месячную заработную плату. </w:t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КС РФ подтвердил, что при задержке работодателем выплаты работнику компенсации морального вреда в связи с несчастным случаем на производстве с работодателя взыскиваются проценты, установленные частью первой статьи 236 ТК РФ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</w:rPr>
              <w:t xml:space="preserve">Постановление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Конституционного Суда РФ от 15.12.2025 № 44-П «По делу о проверке конституционности части первой статьи 236 Трудового кодекса Российской Федерации в связи с жалобой гражданина Полежаева Алексея Викторовича»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Ч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асть первая статьи 236 ТК РФ признана не противоречащей Конституции РФ, поскольку по своему конституционно-правовому смыслу в системе действующего правового регулирования она предполагает начисление в соответствии с установленными правилами процентов (ден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ежной компенсации) на присужденную работнику в связи с несчастным случаем на производстве сумму компенсации морального вреда за период неисполнения (задержки исполнения) работодателем судебного решения о взыскании с него указанной компенсации начиная со дн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я, следующего за днем вступления в законную силу указанного решения суда, по день фактического расчета включительно.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Указанная норма предполагает, что за период, когда решение суда о выплате работнику компенсации морального вреда не исполнено, работник, будучи незаконно лишенным причитающихся ему денежных средств, имеет право на применение предусмотренного данной нормой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компенсационного механизма.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</w:rPr>
        <w:t xml:space="preserve"> </w:t>
      </w:r>
      <w:r>
        <w:rPr>
          <w:rFonts w:ascii="PT Astra Serif" w:hAnsi="PT Astra Serif" w:cs="PT Astra Serif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  <w:highlight w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Иностранные работники в разных отраслях: правительство установило квоты на 2026 год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sz w:val="16"/>
          <w:szCs w:val="16"/>
          <w:highlight w:val="none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  <w:t xml:space="preserve">Постановление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  <w:t xml:space="preserve"> Правительства РФ от 05.12.2025 № 1995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  <w:t xml:space="preserve">Об установлении на 2026 год допустимой доли иностранных работников, используемых хозяйствующими субъектами, осуществляющими на территории Российской Федерации отдельные виды экономической деятельности»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Изменили и общие по стране квоты, и квоты для отдельных регионов. Общие квоты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снизили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для ряда работ, в т.ч. для выращивания овощей и оптовой торговли пиломатериалами - до 40%, для строительства - до 50%. Для предоставления продуктов и напитков установили квоту в размере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50%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Запрет на труд иностранцев в отдельных отраслях установили в Приморском крае, Орловской, Тверской, Ульяновской областях и других регионах.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Работодателям нужно было привести численность иностранцев в соответствие с ограничениями до начала 2026 года. Иначе организации грозит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штраф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от 800 тыс. до 1 млн руб. или приостановка деятельности на срок от 14 до 90 суток. Должностное лицо могут оштрафовать на сумму от 45 тыс. до 50 тыс. руб.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cs="PT Astra Serif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Минтрудом России утверждены типовые дополнительные профессиональные программы в области комплексной реабилитации и абилитации инвалидов</w:t>
      </w:r>
      <w:r>
        <w:rPr>
          <w:rFonts w:ascii="PT Astra Serif" w:hAnsi="PT Astra Serif" w:cs="PT Astra Serif"/>
          <w:bCs/>
          <w:i/>
          <w:sz w:val="28"/>
          <w:szCs w:val="28"/>
        </w:rPr>
      </w:r>
      <w:r>
        <w:rPr>
          <w:rFonts w:ascii="PT Astra Serif" w:hAnsi="PT Astra Serif" w:cs="PT Astra Serif"/>
          <w:bCs/>
          <w:i/>
          <w:sz w:val="28"/>
          <w:szCs w:val="28"/>
        </w:rPr>
      </w:r>
    </w:p>
    <w:p>
      <w:pPr>
        <w:contextualSpacing/>
        <w:spacing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риказ Минтруда России от 25.09.2025 № 574н «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Об утверждении типовых дополнительных профессиональных программ в области комплексной реабилитации и абилитации инвалидов»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Приказом утверждены: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типовая дополнительная профессиональная программа повышения квалификации специалистов по организации системы комплексной реабилитации и абилитации инвалидов и детей-инвалидов в субъекте РФ;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типовая дополнительная профессиональная программа повышения квалификации специалистов по организации оказания услуг по основным направлениям комплексной реабилитации и абилитации инвалидов и детей-инвалидов в реабилитационной организации;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типовая дополнительная профессиональная программа повышения квалификации специалистов по оказанию услуг по комплексной социальной реабилитации и абилитации инвалидов и детей-инвалидов.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Финансирование предупредительных мер по сокращению травматизма: Минтруд России уточнил правила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:highlight w:val="none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hyperlink r:id="rId10" w:tooltip="https://login.consultant.ru/link/?req=doc&amp;base=LAW&amp;n=521167&amp;dst=100009&amp;demo=1" w:history="1">
              <w:r>
                <w:rPr>
                  <w:rFonts w:ascii="PT Astra Serif" w:hAnsi="PT Astra Serif" w:eastAsia="PT Astra Serif" w:cs="PT Astra Serif"/>
                  <w:color w:val="000000"/>
                  <w:sz w:val="24"/>
                  <w:szCs w:val="24"/>
                </w:rPr>
                <w:t xml:space="preserve">Приказ Минтруда России от 08.08.2025 № 497н</w:t>
              </w:r>
            </w:hyperlink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оизводственными факторами, утвержденные приказом Министерства труда и социальной защиты Российской Федерации от 11 июля 2024 № 347н» 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Расширили перечень предупредительных мер. Определили способы подачи заявлений о финансировании таких мер и о возмещении расходов. Скорректировали срок подачи заявления о возмещении сумм и другие сроки. Документ вступил в силу 21 декабря 2025 года.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Состав предупредительных мер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Перечень предупредительных мер скорректирован. Социальный фонд России (далее - фонд) возместит расходы страхователя на покупку, в частности: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1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вендингового оборудования и дозаторов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для выдачи СИЗ и смывающих средств;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1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медизделий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для измерения давления и пульса, если работники проходят предсменные (послесменные) и предрейсовые (послерейсовые) медосмотры, а также оборудования для дистанционных медосмотров;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1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криптографического средства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если страхователь осуществляет пассажирские и грузовые перевозки;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1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комплектующих медицинских изделий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к аптечкам первой помощи.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Туристический налог учтут в расходах на оплату путевок на санаторно-курортное лечение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сотрудников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занятых на вредных производствах,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предпенсионеров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Также дополнили перечень категорий работников для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обучения охране труда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расходы на которое финансируют за счет взносов. В него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включили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2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лиц, обязанных оказывать первую помощь;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2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водителей;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2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работников, которые должны уметь оказывать первую помощь;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2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работников, применяющих СИЗ, когда это требует практических навыков.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Направление заявлений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Определили способы подачи заявлений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 финансировании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предупредительных мер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 возмещении расходов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3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прямо в фонд;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3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 почте;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3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через интернет (в т.ч. через Госуслуги);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3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МФЦ.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Изменение сроков и установление новых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 общему правилу решение о финансировании или об отказе примут в течение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9 рабочих дней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со дня получения документов.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Страховщик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направит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рахователю решение о финансировании или об отказе в нем в течение 1 рабочего дня после подписания. В этот же срок решение разместят в ЛК страхователя на сайте фонда (если есть техническая возможность). Если фонд откажет в финансировании, он укажет причины.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Дополнительно обратиться в фонд за возмещением расходов на предупредительные мероприятия станет возможным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 позднее 15 октября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текущего года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Также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 позднее 15 октября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можно подать заявление об уменьшении средств, если сумму использовали не полностью.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Отказ в финансировании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перечень причин отказа в финансировании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добавили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4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неполную подачу документов;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4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подачу недостоверных документов.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Также уточнили, что если фонд получит дополнительные средства, то ранее принятое решение об отказе из-за отсутствия денег он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сможет отменить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Возмещение расходов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Среди документов, которые обосновывают расходы,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назвали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например, копии локальных нормативных актов, которые определяют отнесение работников к конкретной категории.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Установили максимальную сумму возмещения расходов 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санаторно-курортное лечение работников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Стоимость путевки определят исходя из цены койко-дня в размере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14 230,41 руб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Сумму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будут индексировать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ежегодно.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/>
          <w:bCs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b/>
          <w:bCs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b/>
          <w:bCs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/>
          <w:bCs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b/>
          <w:bCs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Cs/>
          <w:i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Утверждена типовая дополнительная профессиональная программа повышения квалификации специалистов в области комплексной реабилитации и абилитации инвалидов, оказывающих услуги по социальной занятости инвалидов</w:t>
      </w:r>
      <w:r>
        <w:rPr>
          <w:rFonts w:ascii="PT Astra Serif" w:hAnsi="PT Astra Serif" w:cs="PT Astra Serif"/>
          <w:bCs/>
          <w:i/>
          <w:sz w:val="28"/>
          <w:szCs w:val="28"/>
          <w:highlight w:val="none"/>
        </w:rPr>
      </w:r>
      <w:r>
        <w:rPr>
          <w:rFonts w:ascii="PT Astra Serif" w:hAnsi="PT Astra Serif" w:cs="PT Astra Serif"/>
          <w:bCs/>
          <w:i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Cs/>
          <w:i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Cs/>
          <w:i/>
          <w:sz w:val="16"/>
          <w:szCs w:val="16"/>
          <w:highlight w:val="none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Приказ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Минтруда России от 06.10.2025 № 591н «Об утверждении типовой дополнительной профессиональной программы повышения квалификации специалистов в области комплексной реабилитации и абилитации инвалидов, оказывающих услуги по социальной занятости инвалидов»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Программа предназначена для специалистов, оказывающих услуги по социальной занятости, к которым относятся: инструктор по труду, специалист по реабилитационной работе в социальной сфере, специалист в области воспитания, специалист по профориентации.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Индикаторы риска для проверок Государственной инспекции труда: Минтруд России продлил срок действия перечня до 31 декабря 2026 года </w:t>
      </w: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spacing w:line="240" w:lineRule="auto"/>
              <w:rPr>
                <w:bCs w:val="0"/>
                <w:i w:val="0"/>
                <w:sz w:val="22"/>
                <w:szCs w:val="22"/>
              </w:rPr>
            </w:pPr>
            <w:r>
              <w:rPr>
                <w:i w:val="0"/>
                <w:i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auto"/>
                <w:sz w:val="24"/>
                <w:szCs w:val="24"/>
              </w:rPr>
              <w:t xml:space="preserve">Приказ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auto"/>
                <w:sz w:val="24"/>
                <w:szCs w:val="24"/>
              </w:rPr>
              <w:t xml:space="preserve"> Ми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  <w:t xml:space="preserve">нтруда России от 19.11.2025 № 658н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  <w:t xml:space="preserve">О внесении изменения в абзац третий приказа Министерства труда и социальной защиты Российской Федерации от 30 ноября 2021 № 838н «Об утверждении перечня индикаторов риска нарушения обязательных требований при осуществлении федерального государственного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color w:val="000000"/>
                <w:sz w:val="24"/>
                <w:szCs w:val="24"/>
              </w:rPr>
              <w:t xml:space="preserve"> контроля (надзора) за соблюдением трудового законодательства и иных нормативных правовых актов, содержащих нормы трудового права» </w:t>
            </w:r>
            <w:r>
              <w:rPr>
                <w:bCs w:val="0"/>
                <w:i w:val="0"/>
                <w:sz w:val="22"/>
                <w:szCs w:val="22"/>
              </w:rPr>
            </w:r>
            <w:r>
              <w:rPr>
                <w:bCs w:val="0"/>
                <w:i w:val="0"/>
                <w:sz w:val="22"/>
                <w:szCs w:val="22"/>
              </w:rPr>
            </w:r>
          </w:p>
        </w:tc>
      </w:tr>
    </w:tbl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Список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индикаторов риска, которые могут указывать на нарушение работодателями обязательных требований, станут применять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до конца 2026 года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Прежний срок был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до 31 декабря 2025 года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Сам перечень не скорректировали.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Изменения вступили в силу 29 декабря 2025 года.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cs="PT Astra Serif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На 2026 - 2028 годы утверждено Отраслевое соглашение по дорожному хозяйству</w:t>
      </w:r>
      <w:r>
        <w:rPr>
          <w:rFonts w:ascii="PT Astra Serif" w:hAnsi="PT Astra Serif" w:cs="PT Astra Serif"/>
          <w:bCs/>
          <w:i/>
          <w:sz w:val="28"/>
          <w:szCs w:val="28"/>
        </w:rPr>
      </w:r>
      <w:r>
        <w:rPr>
          <w:rFonts w:ascii="PT Astra Serif" w:hAnsi="PT Astra Serif" w:cs="PT Astra Serif"/>
          <w:bCs/>
          <w:i/>
          <w:sz w:val="28"/>
          <w:szCs w:val="28"/>
        </w:rPr>
      </w:r>
    </w:p>
    <w:p>
      <w:pPr>
        <w:contextualSpacing/>
        <w:spacing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shd w:val="clear" w:color="ffffff" w:fill="ffffff"/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«Отраслевое соглашение по дорожному хозяйству Российской Федерации на 2026 - 2028 годы» (утв. Общероссийским профсоюзом работников автомобильного транспорта и дорожного хозяйства, Росавтодором, Российской ассоциацией территориальных органов управления авто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мобильными дорогами «РАДОР» 09.12.2025)</w:t>
            </w:r>
            <w:r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Соглашение регулирует социально-трудовые отношения и устанавливает общие принципы регулирования связанных с ними экономических отношений, определяет условия оплаты, охраны труда, режимы труда и отдыха, другие условия, а также трудовые гарантии и льготы раб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отникам в организациях независимо от организационно-правовых форм и видов собственности, в том числе работодателей - индивидуальных предпринимателей.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Соглашение распространяется на работников и работодателей подрядных организаций, организаций, занятых управлением дорожным хозяйством (органов управления автомобильными дорогами, заказчиков), государственных и муниципальных учреждений, не являющихся госуд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арственными служащими, в части, не противоречащей нормативным правовым актам Российской Федерации об оплате труда работников федеральных государственных и муниципальных учреждений, проектных и изыскательских организаций.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Дни сдачи крови при сменном графике: ВС РФ указал, за сколько часов сохранять средний заработок</w:t>
      </w:r>
      <w:r>
        <w:rPr>
          <w:rFonts w:ascii="PT Astra Serif" w:hAnsi="PT Astra Serif" w:cs="PT Astra Serif"/>
          <w:bCs/>
          <w:i/>
          <w:sz w:val="28"/>
          <w:szCs w:val="28"/>
        </w:rPr>
      </w:r>
      <w:r>
        <w:rPr>
          <w:rFonts w:ascii="PT Astra Serif" w:hAnsi="PT Astra Serif" w:cs="PT Astra Serif"/>
          <w:bCs/>
          <w:i/>
          <w:sz w:val="28"/>
          <w:szCs w:val="28"/>
        </w:rPr>
      </w:r>
    </w:p>
    <w:p>
      <w:pPr>
        <w:contextualSpacing/>
        <w:spacing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Обзор судебной практики ВС РФ № 4 (2025) (утв. Президиумом ВС РФ 22.12.2025)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Верховный Суд Российской Федерации включил в обзор такой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вывод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 работнику с суммированным учетом рабочего времени или при сменной работе за день сдачи крови и ее компонентов и за дополнительный выходной работодатель сохраняет средний заработок за число часов в его конкретной смене.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Донору, который трудился по графику с длительностью смен 12 часов, дни сдачи крови и дополнительные дни отдыха оплачивали исходя из 8-часового рабочего дня. С действиями работодателя сотрудник не согласился и обратился в суд.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ВС РФ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указал: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5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размер и характер компенсаций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 зависят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от ежедневной нормы рабочего времени (40 часов в неделю) и режима работы;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5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 сменном режиме рабочего времени по трудовому договору рабочим днем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считают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смену, длительность которой определяет график сменности. Она может выпадать на разные календарные дни;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5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 сменном графике работника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освобождают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от работы в день сдачи крови, также он получает дополнительный выходной после каждого такого дня. День отдыха предоставляют не в виде календарного дня, а в виде рабочей смены по графику, которая может включать 2 календарных дня;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0"/>
        <w:numPr>
          <w:ilvl w:val="0"/>
          <w:numId w:val="5"/>
        </w:numPr>
        <w:contextualSpacing/>
        <w:ind w:right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расчет среднего заработка работника-донора исходя из 8-часового рабочего дня, а не числа часов в смене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лишает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его выплат, компенсирующих зарплату, которую он мог бы получать, если бы не сдавал кровь.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В Трудовом кодексе закреплены особенности регулирования труда руководителя государственного (муниципального) учреждения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spacing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shd w:val="clear" w:color="ffffff" w:fill="ffffff"/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Федеральный закон от 28.12.2025 № 510-ФЗ «О внесении изменений в Трудовой кодекс Российской Федерации»</w:t>
            </w:r>
            <w:r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Установлено, в частности, что сведения о доходах, об имуществе и обязательствах имущественного характера, предусмотренные Федеральным законом «О противодействии коррупции», представляются только лицами, поступающими на должность руководителя государственно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го (муниципального) учреждения.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Действующие руководители государственных (муниципальных) учреждений представляют сведения о расходах, предусмотренные Федеральным законом «О контроле за соответствием расходов лиц, замещающих государственные должности, и иных лиц их доходам», в установленн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ых законом случаях.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Кроме того, установлен упрощенный порядок назначения на должность по решению Президента граждан, замещавших определенные должности государственной или муниципальной службы, в течение двух лет после увольнения с такой службы в организацию, в которой отдельн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ые функции государственного управления организацией входили в должностные (служебные) обязанности этого служащего.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cs="PT Astra Serif"/>
          <w:bCs/>
          <w:i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Cs/>
          <w:i/>
          <w:sz w:val="16"/>
          <w:szCs w:val="16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cs="PT Astra Serif"/>
          <w:bCs/>
          <w:i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В Трудовой кодекс РФ внесены изменения, уточняющие особенности регулирования труда спортсменов, тренеров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spacing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shd w:val="clear" w:color="ffffff" w:fill="ffffff"/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Федеральный закон от 29.12.2025 № 532-ФЗ «О внесении изменений в Трудовой кодекс Российской Федерации»</w:t>
            </w:r>
            <w:r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2"/>
                <w:szCs w:val="22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Поправками предусмотрено, что особенности регулирования труда спортсменов, тренеров должны также учитывать нормы, утвержденные профессиональными спортивными лигами и направленные на регулирование отношений, связанных с участием спортсменов в отдельных офиц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иальных спортивных соревнованиях, организованных профессиональными спортивными лигами.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Спортсменов, принимающих участие в таких соревнованиях, и тренеров, осуществляющих подготовку спортсменов, работодатели как при приеме на работу, так и в период действия трудового договора обязаны знакомить с вышеназванными нормами.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Также закреплена обязанность работодателей направлять спортсменов, принимающих участие в отдельных официальных спортивных соревнованиях, и тренеров с их письменного согласия в спортивные сборные команды РФ по вызовам (заявкам) общероссийских спортивных фед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ераций по соответствующим виду или видам спорта для участия: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Олимпийских играх, юношеских Олимпийских играх, чемпионатах мира и первенствах мира, а также в тренировочных мероприятиях по подготовке к указанным соревнованиям не менее чем за семь календарных дней до начала указанных соревнований;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других международных спортивных мероприятиях, перечень которых утверждается Министерством спорта РФ по согласованию с общероссийской спортивной федерацией по соответствующим виду или видам спорта и профессиональной спортивной лигой.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Настоящий Федеральный закон вступает в силу с 1 марта 2026 года.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Мин</w:t>
      </w: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труд России: могут ли сотрудники забрать списанные СИЗ, решает работодатель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spacing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Письмо Минтруда России от 11.12.2025 № 15-2/В-4751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Когда у СИЗ истекает срок эксплуатации или годности, сотрудник, как правило, должен вернуть их работодателю. Ведомство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пояснило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что работодатель самостоятельно определяет порядок утилизации и вывода из эксплуатации этих средств.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cs="PT Astra Serif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Правительством РФ на 2026 год установлены особенности правового регулирования трудовых отношений и иных непосредственно связанных с ними отношений</w:t>
      </w:r>
      <w:r>
        <w:rPr>
          <w:rFonts w:ascii="PT Astra Serif" w:hAnsi="PT Astra Serif" w:cs="PT Astra Serif"/>
          <w:bCs/>
          <w:i/>
          <w:sz w:val="28"/>
          <w:szCs w:val="28"/>
        </w:rPr>
      </w:r>
      <w:r>
        <w:rPr>
          <w:rFonts w:ascii="PT Astra Serif" w:hAnsi="PT Astra Serif" w:cs="PT Astra Serif"/>
          <w:bCs/>
          <w:i/>
          <w:sz w:val="28"/>
          <w:szCs w:val="28"/>
        </w:rPr>
      </w:r>
    </w:p>
    <w:p>
      <w:pPr>
        <w:contextualSpacing/>
        <w:spacing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Постановление Правительства РФ от 25.12.2025 № 2131 «Об особенностях регулирования трудовых и иных непосредственно связанных с ними отношений»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Так, с письменного согласия работника работодателем может быть осуществлен его временный перевод на работу к другому работодателю в той же либо в другой местности по направлению центра занятости населения, содержащему предложение работнику о таком переводе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его к другому работодателю с указанием должности (профессии, специальности), условий оплаты труда, условий труда на рабочем месте, других условий в случаях, предусмотренных трудовым законодательством и иными нормативными правовыми актами, содержащими норм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ы трудового права.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Предусмотрено, что на период временного перевода к другому работодателю действие первоначально заключенного трудового договора приостанавливается, течение срока действия первоначально заключенного трудового договора не прерывается.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Определены случаи, в которых осуществляется временный перевод на работу к другому работодателю: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поступление запроса работодателя, содержащего информацию о наличии потребности во временном переводе работников от другого работодателя;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поступление в центр занятости населения сведений от работодателя о приостановке производства (работы).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Также установлены особенности заключения трудовых договоров с лицами, являющимися гражданами РФ, Украины и лицами без гражданства, постоянно проживающими на территориях Украины, ДНР, ЛНР, вынужденно покинувшими указанные территории и прибывшими на территор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ию Российской Федерации в экстренном массовом порядке, при поступлении их на работу, требующую специальных знаний или специальной подготовки.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Постановление вступает в силу с 1 января 2026 года и действует до 1 января 2027 года.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i/>
          <w:i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Опубликованы единые рекомендации по установлению систем оплаты труда работников государственных и муниципальных учреждений на 2026 год</w:t>
      </w:r>
      <w:r>
        <w:rPr>
          <w:rFonts w:ascii="PT Astra Serif" w:hAnsi="PT Astra Serif" w:cs="PT Astra Serif"/>
          <w:i/>
          <w:iCs/>
          <w:sz w:val="28"/>
          <w:szCs w:val="28"/>
          <w:highlight w:val="none"/>
        </w:rPr>
      </w:r>
      <w:r>
        <w:rPr>
          <w:rFonts w:ascii="PT Astra Serif" w:hAnsi="PT Astra Serif" w:cs="PT Astra Serif"/>
          <w:i/>
          <w:iCs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Cs/>
          <w:i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i/>
          <w:iCs/>
          <w:sz w:val="16"/>
          <w:szCs w:val="16"/>
          <w:highlight w:val="none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«Единые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2026 год»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(утв. решением Российской трехсторонней комиссии по регулированию социально-трудовых отношен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ий от 26.12.2025, протокол № 11пр)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Рекомендации учитываются Правительством РФ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бюджетной сферы.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Основные отличия от рекомендаций на 2025 год заключаются в следующем, в частности: уточнены перечни видов выплат компенсационного и стимулирующего характера и условия их применения; введены положения о порядке осуществления выплат за наставничество; устано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влены особенности, касающиеся систем оплаты труда учителей, врачей, работников культуры и социальной защиты; установлены особенности системы оплаты труда работников дорожного хозяйства.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</w:p>
    <w:p>
      <w:pPr>
        <w:pStyle w:val="680"/>
        <w:contextualSpacing/>
        <w:ind w:left="0" w:right="0" w:firstLine="567"/>
        <w:jc w:val="both"/>
        <w:spacing w:before="0" w:beforeAutospacing="0" w:after="0" w:afterAutospacing="0" w:line="240" w:lineRule="auto"/>
        <w:shd w:val="clear" w:color="ffffff" w:fill="ffffff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Cs/>
          <w:i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Утверждены методические рекомендации МР 4.3.0388-25 «Инфразвук на рабочих местах»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 </w:t>
      </w:r>
      <w:r>
        <w:rPr>
          <w:rFonts w:ascii="PT Astra Serif" w:hAnsi="PT Astra Serif" w:cs="PT Astra Serif"/>
          <w:bCs/>
          <w:i/>
          <w:sz w:val="28"/>
          <w:szCs w:val="28"/>
          <w:highlight w:val="none"/>
        </w:rPr>
      </w:r>
      <w:r>
        <w:rPr>
          <w:rFonts w:ascii="PT Astra Serif" w:hAnsi="PT Astra Serif" w:cs="PT Astra Serif"/>
          <w:bCs/>
          <w:i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Cs/>
          <w:i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Cs/>
          <w:i/>
          <w:sz w:val="16"/>
          <w:szCs w:val="16"/>
          <w:highlight w:val="none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  <w:r>
        <w:rPr>
          <w:rFonts w:ascii="PT Astra Serif" w:hAnsi="PT Astra Serif" w:cs="PT Astra Serif"/>
          <w:bCs/>
          <w:i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02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5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«МР 4.3.0388-25. 4.3. Методы контроля. Физические факторы. Инфразвук на рабочих местах. </w:t>
            </w: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  <w:u w:val="none"/>
              </w:rPr>
              <w:t xml:space="preserve">Методические</w:t>
            </w: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</w:rPr>
              <w:t xml:space="preserve"> рекомен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дации» (утв. Главным государственным санитарным врачом РФ 04.08.2025)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 рабочих местах контролируется инфразвук, создаваемый оборудованием (продукцией) машиностроения, приборостроения и электротехники производственного и инженерно-технического назначения, машинами и механизмами, имеющими поверхности больших размеров, соверш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ающими низкочастотные механические колебания (инфразвук механического происхождения) или турбулентные потоки газов или жидкостей (инфразвук аэродинамического или гидродинамического происхождения); инфразвук, создаваемый инженерно-техническими системами воз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духоподготовки, воздухоочистки и фильтрации; инфразвук, создаваемый транспортом, конвертерными и мартеновскими цехами металлургических производств, компрессорными газоперекачивающими станциями, портовыми кранами и др.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Методические рекомендации описывают порядок и условия проведения измерений инфразвука на рабочих местах с целью оценки соответствия его параметров гигиеническим нормативам.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Внесены изменения в перечень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</w:t>
      </w: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стей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</w:rPr>
      </w:r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</w:rPr>
        <w:t xml:space="preserve"> </w:t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1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99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  <w:u w:val="none"/>
              </w:rPr>
              <w:t xml:space="preserve">Постановление</w:t>
            </w: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</w:rPr>
              <w:t xml:space="preserve"> Прави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тельства РФ от 26.01.2026 № 39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«О внесении изменений в постановление Правительства Российской Федерации от 14 октября 2022 г. № 1830»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указанный перечень включена новая позиция - «Рабочие места в общественных и иных некоммерческих организациях, осуществляющих в качестве основного один из видов деятельности, предусмотренный кодом 94 Общероссийского классификатора видов экономической деят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ельности (ОКВЭД 2) ОК 029-2014 (КДЕС Ред. 2), - деятельность общественных и прочих некоммерческих организаций».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Кроме того, в новой редакции изложен перечень видов экономической деятельности, включенных в Общероссийский классификатор видов экономической деятельности (ОКВЭД 2) ОК 029-2014 (КДЕС Ред. 2), осуществляемых в качестве основного в организациях - субъектах м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алого предпринимательства (включая работодателей - индивидуальных предпринимателей), отнесенных к микропредприятиям и малым предприятиям.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Настоящее Постановление вступает в силу с 1 сентября 2026 года.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i/>
          <w:iCs/>
          <w:color w:val="000000"/>
          <w:sz w:val="28"/>
          <w:szCs w:val="28"/>
        </w:rPr>
        <w:t xml:space="preserve">С 1 сентября 2026 года вводится профессиональный стандарт «Инженер-ортезист»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0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</w:rPr>
        <w:t xml:space="preserve"> </w:t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spacing w:before="0" w:beforeAutospacing="0"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  <w:u w:val="none"/>
              </w:rPr>
              <w:t xml:space="preserve">Приказ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Минтруда России от 02.12.2025 № 679н «Об утверждении профессионального стандарта «Инженер-ортезист»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Целью профессиональной деятельности данных специалистов является оказание услуги по обеспечению инвалидов ортезами по индивидуальным параметрам.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Приводится описание трудовых функций, устанавливаются требования к образованию и обучению, к опыту практической работы, другие характеристики.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Настоящий приказ действует до 1 сентября 2032 г.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Конституционный Суд предложил временный порядок подсчета и компенсации часов переработки за фактически отработанный лицом, выполнявшим работу вахтовым методом, период, в случае его увольнения до окончания вахты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/>
          <w:bCs/>
          <w:color w:val="000000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b/>
          <w:bCs/>
          <w:color w:val="000000"/>
          <w:sz w:val="16"/>
          <w:szCs w:val="16"/>
        </w:rPr>
      </w:r>
      <w:r>
        <w:rPr>
          <w:rFonts w:ascii="PT Astra Serif" w:hAnsi="PT Astra Serif" w:cs="PT Astra Serif"/>
          <w:b/>
          <w:bCs/>
          <w:color w:val="000000"/>
          <w:sz w:val="16"/>
          <w:szCs w:val="16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339"/>
      </w:tblGrid>
      <w:tr>
        <w:tblPrEx/>
        <w:trPr>
          <w:trHeight w:val="86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39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auto"/>
                <w:sz w:val="21"/>
                <w:u w:val="none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  <w:u w:val="none"/>
              </w:rPr>
              <w:t xml:space="preserve">остановление</w:t>
            </w: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</w:rPr>
              <w:t xml:space="preserve"> К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онституционного Суда РФ от 06.02.2026 № 5-П «По делу о проверке конституционности статьи 300 Трудового кодекса Российской Федерации в связи с жалобой гражданина Чернова Сергея Николаевича»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Статья 300 ТК РФ признана не соответствующей Конституции РФ, в той мере, в какой она, не предусматривая правил учета рабочего времени и времени отдыха работника, работающего вахтовым методом, в случае его увольнения до окончания вахты, препятствует исчисле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нию переработки рабочего времени за фактически отработанный таким работником период и - в отсутствие в действующем законодательстве правового механизма, который гарантировал бы компенсацию работнику времени отдыха, полагающегося ему в связи с переработкой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рабочего времени в пределах графика работы на вахте и фактически не использованного им при увольнении, - не обеспечивает возможность получения работником денежной компенсации взамен такого отдыха.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Федеральному законодателю надлежит внести необходимые изменения в действующее правовое регулирование.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Впредь до внесения соответствующих изменений при увольнении работника, работающего вахтовым методом, до окончания вахты учитывается рабочее время и время отдыха такого работника за фактически отработанный им период (с момента начала работы до момента прекр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ащения трудового договора). При этом подсчет часов переработки осуществляется исходя из нормы рабочего времени на соответствующий календарный период, исчисленной в порядке, предусмотренном действующим законодательством. При наличии переработки рабочего вре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мени в пределах графика работы на вахте за полагающиеся работнику в связи с такой переработкой и фактически не предоставленные ему дни отдыха должна быть выплачена денежная компенсация в размере, исчисленном по правилам, установленным ТК РФ для оплаты дней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междувахтового отдыха. При этом часы переработки рабочего времени в пределах графика работы на вахте, не кратные целому рабочему дню, подлежат оплате из расчета часовой ставки (части оклада (должностного оклада) за час работы).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/>
        <w:ind w:left="0" w:right="0" w:firstLine="0"/>
        <w:jc w:val="both"/>
        <w:spacing w:before="0" w:after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4"/>
        </w:rPr>
        <w:t xml:space="preserve"> 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С 1 сентября 2026 года применяется актуализированный профессиональный стандарт «Врач скорой медицинской помощи»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16"/>
          <w:szCs w:val="16"/>
        </w:rPr>
        <w:t xml:space="preserve"> 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Приказ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Минтруда России от 10.11.2025 № 634н «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Об утверждении профессионального стандарта «Врач скорой медицинской помощи»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Целью профессиональной деятельности данных специалистов является оказание скорой, в том числе скорой специализированной, медицинской помощи вне медицинской организации, а также в амбулаторных и стационарных условиях, при заболеваниях, несчастных случаях, 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равмах, отравлениях и других состояниях, требующих срочного медицинского вмешательства.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Признается утратившим силу приказ Минтруда России от 14.03.2018 № 133н, которым утвержден аналогичный стандарт.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Настоящий приказ действует до 1 сентября 2032 года.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Работодателям организаций дорожной отрасли предлагается присоединиться к Отраслевому соглашению по дорожному хозяйству Российской Федерации на 2026 - 2028</w:t>
      </w: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 годы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16"/>
          <w:szCs w:val="16"/>
        </w:rPr>
        <w:t xml:space="preserve"> 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414"/>
      </w:tblGrid>
      <w:tr>
        <w:tblPrEx/>
        <w:trPr>
          <w:trHeight w:val="61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1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spacing w:before="0" w:beforeAutospacing="0" w:after="0" w:line="240" w:lineRule="auto"/>
              <w:rPr>
                <w:rFonts w:ascii="PT Astra Serif" w:hAnsi="PT Astra Serif" w:cs="PT Astra Serif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  <w:u w:val="none"/>
              </w:rPr>
              <w:t xml:space="preserve">Письмо</w:t>
            </w:r>
            <w:r>
              <w:rPr>
                <w:rFonts w:ascii="PT Astra Serif" w:hAnsi="PT Astra Serif" w:eastAsia="PT Astra Serif" w:cs="PT Astra Serif"/>
                <w:color w:val="auto"/>
                <w:sz w:val="24"/>
                <w:szCs w:val="24"/>
              </w:rPr>
              <w:t xml:space="preserve"> Минтруда России от 02.02.2026 № 14-4/10/В-1488 «О присоединении к Отраслевому соглашению по дорожному хозяйству Российской Федерации на 2026 - 2028 годы»</w:t>
            </w:r>
            <w:r>
              <w:rPr>
                <w:rFonts w:ascii="PT Astra Serif" w:hAnsi="PT Astra Serif" w:cs="PT Astra Serif"/>
                <w:color w:val="auto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auto"/>
                <w:sz w:val="24"/>
                <w:szCs w:val="24"/>
              </w:rPr>
            </w:r>
          </w:p>
        </w:tc>
      </w:tr>
    </w:tbl>
    <w:p>
      <w:pPr>
        <w:contextualSpacing/>
        <w:ind w:left="0" w:right="0" w:firstLine="0"/>
        <w:jc w:val="both"/>
        <w:spacing w:before="0" w:beforeAutospacing="0" w:after="0" w:line="240" w:lineRule="auto"/>
        <w:rPr>
          <w:rFonts w:ascii="PT Astra Serif" w:hAnsi="PT Astra Serif" w:cs="PT Astra Serif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Соглашение размещено на официальном сайте Минтруда России в сети «Интернет» (www.mintrud.gov.ru).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Если в течение 30 календарных дней со дня официального опубликования настоящего предложения работодателями, не участвовавшими в заключении соглашения, не будет представлен мотивированный письменный отказ присоединиться к нему, то соглашение будет считаться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распространенным на этих работодателей.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Минпросвещения направлены примерные штатные нормативы численности работников отдельных общеобразовательных организаций для обучающихся с ОВЗ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16"/>
          <w:szCs w:val="16"/>
        </w:rPr>
      </w: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16"/>
          <w:szCs w:val="16"/>
        </w:rPr>
        <w:t xml:space="preserve"> 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16"/>
          <w:szCs w:val="16"/>
          <w14:ligatures w14:val="none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496"/>
      </w:tblGrid>
      <w:tr>
        <w:tblPrEx/>
        <w:trPr>
          <w:trHeight w:val="34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96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spacing w:before="0" w:beforeAutospacing="0" w:after="0" w:line="240" w:lineRule="auto"/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Письмо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Минпросвещения России от 15.01.2026 № АВ-64/07 «О направлении информации»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до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полнение к письмам Минпросвещения России от 23 июня 2025 года № ОК-1835/08 и от 30 июня 2025 года № ОК-1902/08 направлены примерные штатные нормативы численности работников отдельных общеобразовательных организаций, реализующих адаптированные основные обще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образовательные программы для глухих обучающихся, слабослышащих и позднооглохших обучающихся, слепых обучающихся, слабовидящих обучающихся, обучающихся с тяжелыми нарушениями речи, с нарушениями опорно-двигательного аппарата, с задержкой психического разви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тия, с нарушением интеллекта, с расстройствами аутистического спектра, с тяжелыми множественными нарушениями развития.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Также сообщается, что, принимая во внимание специфику организации деятельности отдельных общеобразовательных организаций для обучающихся с ОВЗ, указанные общеобразовательные организации не принимают участие в достижении показателя «Доля государственных и м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униципальных дошкольных образовательных организаций, общеобразовательных организаций, профессиональных образовательных организаций и организаций дополнительного образования детей субъектов Российской Федерации, вовлеченных в реализацию проектов, направленн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ых на повышение производительности труда», предусмотренного федеральным проектом «Производительность труда» национального проекта «Эффективная и конкурентная экономика».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i/>
          <w:iCs/>
          <w:color w:val="000000"/>
          <w:sz w:val="28"/>
          <w:szCs w:val="28"/>
        </w:rPr>
        <w:t xml:space="preserve">С 1 сентября 2026 года вступает в силу новый профессиональный стандарт «Специалист по работе с молодежью»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  <w:color w:val="000000"/>
          <w:sz w:val="17"/>
        </w:rPr>
        <w:t xml:space="preserve"> </w:t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i/>
          <w:color w:val="000000"/>
          <w:sz w:val="28"/>
          <w:szCs w:val="28"/>
        </w:rPr>
      </w:r>
    </w:p>
    <w:tbl>
      <w:tblPr>
        <w:tblStyle w:val="71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354"/>
      </w:tblGrid>
      <w:tr>
        <w:tblPrEx/>
        <w:trPr>
          <w:trHeight w:val="27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spacing w:before="0" w:beforeAutospacing="0" w:after="0" w:line="240" w:lineRule="auto"/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Приказ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Минтруда России от 11.11.2025 № 640н «Об утверждении профессионального стандарта "Специалист по работе с молодежью»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Краткое описание вида профессиональной деятельности: решение задач по реализации молодежной политики во всех сферах деятельности, в том числе по защите прав и законных интересов молодежи, обеспечению равных условий для развития и самореализации молодежи, с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озданию условий для участия молодежи в жизни общества, повышению уровня межнационального (межэтнического) и межконфессионального согласия в молодежной среде, формированию системы нравственных и смысловых ориентиров, позволяющих противостоять идеологиям экс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тремизма, агрессивного национализма, проявлениям ксенофобии, коррупции, дискриминации по признакам социальной, религиозной, расовой, национальной принадлежности и другим негативным социальным явлениям и деструктивным идеологиям, формированию культуры семей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ных отношений, поддержке молодых семей, способствующей улучшению демографической ситуации.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Предусмотрены требования к образованию и обучению, особые условия допуска к работе, другие характеристики.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Утратит силу аналогичный приказ Минтруда России от 12.02.2020 № 59н.</w:t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ОХРАНА ТРУДА: ИНТЕРЕСНЫЕ ОТВЕТЫ ОНЛАЙН-ИНСПЕКЦИИ</w:t>
        <w:br/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ЗА ОКТЯБРЬ - НОЯБРЬ 2025 ГОДА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Можно ли наказать работника, если он переодевается в спецодежду во время смены?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Ведомство считает, что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нельзя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Переодевание в спецодежду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должно входить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в рабочее время. Организации следует зафиксировать в ПВТР момент его начала и окончания, а также положение о том, включают ли в него переодевание.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Медосмотры при приеме на работу организует кадровик или специалист по охране труда?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Это делает то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работник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ля которого такую обязанность установил работодатель трудовым договором или должностной инструкцией.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Можно ли выдавать работникам бывшие в употреблении СИЗ с укороченным сроком носки?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Использованные СИЗ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допустимо переводить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олько в дежурные.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/>
    </w:p>
    <w:p>
      <w:pPr>
        <w:contextualSpacing/>
        <w:ind w:left="0" w:right="0" w:firstLine="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  <w:t xml:space="preserve">РАБОТОДАТЕЛЯМ НА ЗАМЕТКУ: ПОЛЕЗНЫЕ ОТВЕТЫ ОНЛАЙН-ИНСПЕКЦИИ ЗА НОЯБРЬ 2025 ГОДА</w:t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14:ligatures w14:val="none"/>
        </w:rPr>
      </w:r>
    </w:p>
    <w:p>
      <w:pPr>
        <w:contextualSpacing/>
        <w:ind w:left="0" w:right="0" w:firstLine="0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Можно ли заключить договор о полной материальной ответственности с совместителем?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Да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если, в частности, совместитель работает на должности из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спецперечня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Обязан ли сотрудник подписывать договор о полной материальной ответственности?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Да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если специфика работы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предусматривает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заключение такого договора. В случае отказа сотрудника можно привлечь к дисциплинарной ответственности.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Нужно ли брать согласие на наставничество и оплачивать его, если в функции специалиста входит помощь сотрудникам?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Работодатель вправе включить функции по наставничеству в должностные обязанности специалиста. В этом случае доплат не производят.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2"/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Допустимо ли из-за приема основного работника уволить совместителя – члена избиркома?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поскольку члена участковой избирательной комиссии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запрещено увольнять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 инициативе работодателя до окончания срока полномочий.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  <w:jc w:val="right"/>
    </w:pPr>
    <w:fldSimple w:instr="PAGE \* MERGEFORMAT">
      <w:r>
        <w:t xml:space="preserve">1</w:t>
      </w:r>
    </w:fldSimple>
    <w:r/>
    <w:r/>
  </w:p>
  <w:p>
    <w:pPr>
      <w:pStyle w:val="70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login.consultant.ru/link/?req=doc&amp;base=LAW&amp;n=521167&amp;dst=100009&amp;demo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Касаткина Светлана</cp:lastModifiedBy>
  <cp:revision>27</cp:revision>
  <dcterms:modified xsi:type="dcterms:W3CDTF">2026-02-25T05:52:59Z</dcterms:modified>
</cp:coreProperties>
</file>