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НОВЫЕ ИЗМЕНЕНИЯ В ТРУДОВОМ ЗАКОНОДАТЕЛЬСТВЕ 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</w:p>
    <w:p>
      <w:pPr>
        <w:pStyle w:val="856"/>
        <w:contextualSpacing/>
        <w:ind w:left="0" w:right="0" w:firstLine="567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В 2025-2026 ГОДАХ </w:t>
      </w:r>
      <w:bookmarkStart w:id="0" w:name="undefined"/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bookmarkEnd w:id="0"/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Принято Региональное соглашение о минимальной заработной плате в Удмуртской Республике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b/>
                <w:bCs/>
                <w:i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Региональное соглашение о минимальной заработной плате в Удмуртской Республике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i/>
                <w:color w:val="000000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(заключено  23.01.2026 № АБ-01-85/1)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1 января 2026 года минимальная месячная заработная плата работника, работающего на территории Удмуртской Республики и состоящего в трудовых отношениях с работодателем (за исключением работника организации, финансируемой из федерального бюджета), должна бы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ть не ниже 27093 рублей (с учетом районного коэффициента - 31156 рублей 95 копеек) при условии, что работником полностью отработана за этот период норма рабочего времени и выполнены нормы труда (трудовые обязанности).</w:t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Также Региональным соглашением определен перечень выплат, не включенных в минимальную месячную заработную плату. </w:t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КС РФ подтвердил, что при задержке работодателем выплаты работнику компенсации морального вреда в связи с несчастным случаем на производстве с работодателя взыскиваются проценты, установленные частью первой статьи 236 ТК РФ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Постановление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Конституционного Суда РФ от 15.12.2025 № 44-П «По делу о проверке конституционности части первой статьи 236 Трудового кодекса Российской Федерации в связи с жалобой гражданина Полежаева Алексея Викторовича»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асть первая статьи 236 ТК РФ признана не противоречащей Конституции РФ,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правилами процентов (ден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начиная со дн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я, следующего за днем вступления в законную силу указанного решения суда, по день фактического расчета включительно.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Указанная норма предполагает, что за период, когда решение суда о выплате работнику компенсации морального вреда не исполнено, работник, будучи незаконно лишенным причитающихся ему денежных средств, имеет право на применение предусмотренного данной нормой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компенсационного механизма.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</w:rPr>
        <w:t xml:space="preserve"> </w:t>
      </w:r>
      <w:r>
        <w:rPr>
          <w:rFonts w:ascii="PT Astra Serif" w:hAnsi="PT Astra Serif" w:cs="PT Astra Serif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Иностранные работники в разных отраслях: правительство установило квоты на 2026 год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sz w:val="16"/>
          <w:szCs w:val="16"/>
          <w:highlight w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 Правительства РФ от 05.12.2025 № 1995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Об установлении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деятельности»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Изменили и общие по стране квоты, и квоты для отдельных регионов. Общие квоты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снизили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для ряда работ, в т.ч. для выращивания овощей и оптовой торговли пиломатериалами - до 40%, для строительства - до 50%. Для предоставления продуктов и напитков установили квоту в размере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50%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Запрет на труд иностранцев в отдельных отраслях установили в Приморском крае, Орловской, Тверской, Ульяновской областях и других регионах.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Работодателям нужно было привести численность иностранцев в соответствие с ограничениями до начала 2026 года. Иначе организации грозит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от 800 тыс. до 1 млн руб. или приостановка деятельности на срок от 14 до 90 суток. Должностное лицо могут оштрафовать на сумму от 45 тыс. до 50 тыс. руб.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cs="PT Astra Serif"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Минтрудом России утверждены типовые дополнительные профессиональные программы в области комплексной реабилитации и абилитации инвалидов</w:t>
      </w: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риказ Минтруда России от 25.09.2025 № 574н 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Об утверждении типовых дополнительных профессиональных программ в области комплексной реабилитации и абилитации инвалидов»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Приказом утверждены: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типовая дополнительная профессиональная программа повышения квалификации специалистов по организации системы комплексной реабилитации и абилитации инвалидов и детей-инвалидов в субъекте РФ;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типовая дополнительная профессиональная программа повышения квалификации специалистов по организации оказания услуг по основным направлениям комплексной реабилитации и абилитации инвалидов и детей-инвалидов в реабилитационной организации;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типовая дополнительная профессиональная программа повышения квалификации специалистов по оказанию услуг по комплексной социальной реабилитации и абилитации инвалидов и детей-инвалидов.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Финансирование предупредительных мер по сокращению травматизма: Минтруд России уточнил правила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:highlight w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hyperlink r:id="rId10" w:tooltip="https://login.consultant.ru/link/?req=doc&amp;base=LAW&amp;n=521167&amp;dst=100009&amp;demo=1" w:history="1">
              <w:r>
                <w:rPr>
                  <w:rFonts w:ascii="PT Astra Serif" w:hAnsi="PT Astra Serif" w:eastAsia="PT Astra Serif" w:cs="PT Astra Serif"/>
                  <w:color w:val="000000"/>
                  <w:sz w:val="24"/>
                  <w:szCs w:val="24"/>
                </w:rPr>
                <w:t xml:space="preserve">Приказ Минтруда России от 08.08.2025 № 497н</w:t>
              </w:r>
            </w:hyperlink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оизводственными факторами, утвержденные приказом Министерства труда и социальной защиты Российской Федерации от 11 июля 2024 № 347н» 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Расширили перечень предупредительных мер. Определили способы подачи заявлений о финансировании таких мер и о возмещении расходов. Скорректировали срок подачи заявления о возмещении сумм и другие сроки. Документ вступил в силу 21 декабря 2025 года.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Состав предупредительных мер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Перечень предупредительных мер скорректирован. Социальный фонд России (далее - фонд) возместит расходы страхователя на покупку, в частности: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1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вендингового оборудования и дозаторов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для выдачи СИЗ и смывающих средств;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1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медизделий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для измерения давления и пульса, если работники проходят предсменные (послесменные) и предрейсовые (послерейсовые) медосмотры, а также оборудования для дистанционных медосмотров;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1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криптографического средства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если страхователь осуществляет пассажирские и грузовые перевозки;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1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комплектующих медицинских изделий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к аптечкам первой помощи.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Туристический налог учтут в расходах на оплату путевок на санаторно-курортное лечение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сотрудников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занятых на вредных производствах,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предпенсионеров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дополнили перечень категорий работников для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обучения охране труда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расходы на которое финансируют за счет взносов. В него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включили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2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лиц, обязанных оказывать первую помощь;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2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водителей;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2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работников, которые должны уметь оказывать первую помощь;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2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работников, применяющих СИЗ, когда это требует практических навыков.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Направление заявлений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Определили способы подачи заявлений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финансировании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предупредительных мер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возмещении расходов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3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прямо в фонд;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3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 почте;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3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через интернет (в т.ч. через Госуслуги);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3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МФЦ.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Изменение сроков и установление новых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 общему правилу решение о финансировании или об отказе примут в течение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9 рабочих дней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со дня получения документов.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Страховщик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направит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рахователю решение о финансировании или об отказе в нем в течение 1 рабочего дня после подписания. В этот же срок решение разместят в ЛК страхователя на сайте фонда (если есть техническая возможность). Если фонд откажет в финансировании, он укажет причины.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Дополнительно обратиться в фонд за возмещением расходов на предупредительные мероприятия станет возможным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позднее 15 октября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текущего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позднее 15 октября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можно подать заявление об уменьшении средств, если сумму использовали не полностью.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Отказ в финансировании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перечень причин отказа в финансировании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добавили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4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неполную подачу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4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подачу недостоверных документов.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уточнили, что если фонд получит дополнительные средства, то ранее принятое решение об отказе из-за отсутствия денег 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сможет отменить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Возмещение расходов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Среди документов, которые обосновывают расходы,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назвали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например, копии локальных нормативных актов, которые определяют отнесение работников к конкретной категории.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Установили максимальную сумму возмещения расходов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санаторно-курортное лечение работников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Стоимость путевки определят исходя из цены койко-дня в размере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14 230,41 руб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Сумму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будут индексировать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ежегодно.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Утверждена типовая дополнительная профессиональная программа повышения квалификации специалистов в области комплексной реабилитации и абилитации инвалидов, оказывающих услуги по социальной занятости инвалидов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Cs/>
          <w:i/>
          <w:sz w:val="16"/>
          <w:szCs w:val="16"/>
          <w:highlight w:val="none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Приказ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Минтруда России от 06.10.2025 № 591н «Об утверждении типовой дополнительной профессиональной программы повышения квалификации специалистов в области комплексной реабилитации и абилитации инвалидов, оказывающих услуги по социальной занятости инвалидов»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Программа предназначена для специалистов, оказывающих услуги по социальной занятости, к которым относятся: инструктор по труду, специалист по реабилитационной работе в социальной сфере, специалист в области воспитания, специалист по профориентации.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Индикаторы риска для проверок Государственной инспекции труда: Минтруд России продлил срок действия перечня до 31 декабря 2026 года 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bCs w:val="0"/>
                <w:i w:val="0"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auto"/>
                <w:sz w:val="24"/>
                <w:szCs w:val="24"/>
              </w:rPr>
              <w:t xml:space="preserve">Приказ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auto"/>
                <w:sz w:val="24"/>
                <w:szCs w:val="24"/>
              </w:rPr>
              <w:t xml:space="preserve"> Ми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нтруда России от 19.11.2025 № 658н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О внесении изменения в абзац третий приказа Министерства труда и социальной защиты Российской Федерации от 30 ноября 2021 № 838н «Об утверждении перечня индикаторов риска нарушения обязательных требований при осуществлении федерального государственного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/>
                <w:sz w:val="24"/>
                <w:szCs w:val="24"/>
              </w:rPr>
              <w:t xml:space="preserve"> контроля (надзора) за соблюдением трудового законодательства и иных нормативных правовых актов, содержащих нормы трудового права» </w:t>
            </w:r>
            <w:r>
              <w:rPr>
                <w:bCs w:val="0"/>
                <w:i w:val="0"/>
                <w:sz w:val="22"/>
                <w:szCs w:val="22"/>
              </w:rPr>
            </w:r>
            <w:r>
              <w:rPr>
                <w:bCs w:val="0"/>
                <w:i w:val="0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Список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индикаторов риска, которые могут указывать на нарушение работодателями обязательных требований, станут применять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 конца 2026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Прежний срок был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 31 декабря 2025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Сам перечень не скорректировали.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Изменения вступили в силу 29 декабря 2025 года.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cs="PT Astra Serif"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На 2026 - 2028 годы утверждено Отраслевое соглашение по дорожному хозяйству</w:t>
      </w: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«Отраслевое соглашение по дорожному хозяйству Российской Федерации на 2026 - 2028 годы» (утв. Общероссийским профсоюзом работников автомобильного транспорта и дорожного хозяйства, Росавтодором, Российской ассоциацией территориальных органов управления авто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мобильными дорогами «РАДОР» 09.12.2025)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регулирует социально-трудовые отношения и устанавливает общие принципы регулирования связанных с ними экономических отношений, определяет условия оплаты, охраны труда, режимы труда и отдыха, другие условия, а также трудовые гарантии и льготы раб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отникам в организациях независимо от организационно-правовых форм и видов собственности, в том числе работодателей - индивидуальных предпринимателей.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распространяется на работников и работодателей подрядных организаций, организаций, занятых управлением дорожным хозяйством (органов управления автомобильными дорогами, заказчиков), государственных и муниципальных учреждений, не являющихся госуд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арственными служащими, в части, не противоречащей нормативным правовым актам Российской Федерации об оплате труда работников федеральных государственных и муниципальных учреждений, проектных и изыскательских организаций.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Дни сдачи крови при сменном графике: ВС РФ указал, за сколько часов сохранять средний заработок</w:t>
      </w: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Обзор судебной практики ВС РФ № 4 (2025) (утв. Президиумом ВС РФ 22.12.2025)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Верховный Суд Российской Федерации включил в обзор такой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вывод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 работнику с суммированным учетом рабочего времени или при сменной работе за день сдачи крови и ее компонентов и за дополнительный выходной работодатель сохраняет средний заработок за число часов в его конкретной смене.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Донору, который трудился по графику с длительностью смен 12 часов, дни сдачи крови и дополнительные дни отдыха оплачивали исходя из 8-часового рабочего дня. С действиями работодателя сотрудник не согласился и обратился в суд.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 РФ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указал: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5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размер и характер компенсаций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зависят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от ежедневной нормы рабочего времени (40 часов в неделю) и режима работы;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5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 сменном режиме рабочего времени по трудовому договору рабочим днем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считают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смену, длительность которой определяет график сменности. Она может выпадать на разные календарные дни;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5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 сменном графике работника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освобождают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от работы в день сдачи крови, также он получает дополнительный выходной после каждого такого дня. День отдыха предоставляют не в виде календарного дня, а в виде рабочей смены по графику, которая может включать 2 календарных дня;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0"/>
        <w:numPr>
          <w:ilvl w:val="0"/>
          <w:numId w:val="5"/>
        </w:numPr>
        <w:contextualSpacing/>
        <w:ind w:right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расчет среднего заработка работника-донора исходя из 8-часового рабочего дня, а не числа часов в смене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лишает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его выплат, компенсирующих зарплату, которую он мог бы получать, если бы не сдавал кровь.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В Трудовом кодексе закреплены особенности регулирования труда руководителя государственного (муниципального) учреждения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Федеральный закон от 28.12.2025 № 510-ФЗ «О внесении изменений в Трудовой кодекс Российской Федерации»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Установлено, в частности, что сведения о доходах, об имуществе и обязательствах имущественного характера, предусмотренные Федеральным законом «О противодействии коррупции», представляются только лицами, поступающими на должность руководителя государственно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 (муниципального) учреждения.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Действующие руководители государственных (муниципальных) учреждений представляют сведения о расходах, предусмотренные Федеральным законом «О контроле за соответствием расходов лиц, замещающих государственные должности, и иных лиц их доходам», в установленн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ых законом случаях.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Кроме того, установлен упрощенный порядок назначения на должность по решению Президента граждан, замещавших определенные должности государственной или муниципальной службы, в течение двух лет после увольнения с такой службы в организацию, в которой отдельн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ые функции государственного управления организацией входили в должностные (служебные) обязанности этого служащего.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cs="PT Astra Serif"/>
          <w:bCs/>
          <w:i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cs="PT Astra Serif"/>
          <w:bCs/>
          <w:i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В Трудовой кодекс РФ внесены изменения, уточняющие особенности регулирования труда спортсменов, тренеров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Федеральный закон от 29.12.2025 № 532-ФЗ «О внесении изменений в Трудовой кодекс Российской Федерации»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Поправками предусмотрено, что особенности регулирования труда спортсменов, тренеров должны также учитывать нормы, утвержденные профессиональными спортивными лигами и направленные на регулирование отношений, связанных с участием спортсменов в отдельных офиц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иальных спортивных соревнованиях, организованных профессиональными спортивными лигами.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Спортсменов, принимающих участие в таких соревнованиях, и тренеров, осуществляющих подготовку спортсменов, работодатели как при приеме на работу, так и в период действия трудового договора обязаны знакомить с вышеназванными нормами.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закреплена обязанность работодателей направлять спортсменов, принимающих участие в отдельных официальных спортивных соревнованиях, и тренеров с их письменного согласия в спортивные сборные команды РФ по вызовам (заявкам) общероссийских спортивных фед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ераций по соответствующим виду или видам спорта для участия: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Олимпийских играх, юношеских Олимпийских играх, чемпионатах мира и первенствах мира, а также в тренировочных мероприятиях по подготовке к указанным соревнованиям не менее чем за семь календарных дней до начала указанных соревнований;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других международных спортивных мероприятиях, перечень которых утверждается Министерством спорта РФ по согласованию с общероссийской спортивной федерацией по соответствующим виду или видам спорта и профессиональной спортивной лигой.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Настоящий Федеральный закон вступает в силу с 1 марта 2026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Мин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труд России: могут ли сотрудники забрать списанные СИЗ, решает работодатель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Письмо Минтруда России от 11.12.2025 № 15-2/В-4751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Когда у СИЗ истекает срок эксплуатации или годности, сотрудник, как правило, должен вернуть их работодателю. Ведомство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пояснило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что работодатель самостоятельно определяет порядок утилизации и вывода из эксплуатации этих средств.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cs="PT Astra Serif"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Правительством РФ на 2026 год установлены особенности правового регулирования трудовых отношений и иных непосредственно связанных с ними отношений</w:t>
      </w: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contextualSpacing/>
        <w:spacing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Постановление Правительства РФ от 25.12.2025 № 2131 «Об особенностях регулирования трудовых и иных непосредственно связанных с ними отношений»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Так, с письменного согласия работника работодателем может быть осуществлен его временный перевод на работу к другому работодателю в той же либо в другой местности по направлению центра занятости населения, содержащему предложение работнику о таком переводе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его к другому работодателю с указанием должности (профессии, специальности), условий оплаты труда, условий труда на рабочем месте, других условий в случаях, предусмотренных трудовым законодательством и иными нормативными правовыми актами, содержащими норм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 трудового права.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Предусмотрено, что на период временного перевода к другому работодателю действие первоначально заключенного трудового договора приостанавливается, течение срока действия первоначально заключенного трудового договора не прерывается.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Определены случаи, в которых осуществляется временный перевод на работу к другому работодателю: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поступление запроса работодателя, содержащего информацию о наличии потребности во временном переводе работников от другого работодателя;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поступление в центр занятости населения сведений от работодателя о приостановке производства (работы).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установлены особенности заключения трудовых договоров с лицами, являющимися гражданами РФ, Украины и лицами без гражданства, постоянно проживающими на территориях Украины, ДНР, ЛНР, вынужденно покинувшими указанные территории и прибывшими на территор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ию Российской Федерации в экстренном массовом порядке, при поступлении их на работу, требующую специальных знаний или специальной подготовки.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Постановление вступает в силу с 1 января 2026 года и действует до 1 января 2027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i/>
          <w:i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Опубликованы единые рекомендации по установлению систем оплаты труда работников государственных и муниципальных учреждений на 2026 год</w:t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i/>
          <w:iCs/>
          <w:sz w:val="16"/>
          <w:szCs w:val="16"/>
          <w:highlight w:val="none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«Единые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2026 год»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(утв. решением Российской трехсторонней комиссии по регулированию социально-трудовых отношен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ий от 26.12.2025, протокол № 11пр)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Рекомендации учитываются Правительством РФ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бюджетной сферы.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Основные отличия от рекомендаций на 2025 год заключаются в следующем, в частности: уточнены перечни видов выплат компенсационного и стимулирующего характера и условия их применения; введены положения о порядке осуществления выплат за наставничество; устано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влены особенности, касающиеся систем оплаты труда учителей, врачей, работников культуры и социальной защиты; установлены особенности системы оплаты труда работников дорожного хозяйства.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p>
      <w:pPr>
        <w:pStyle w:val="680"/>
        <w:contextualSpacing/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Утверждены методические рекомендации МР 4.3.0388-25 «Инфразвук на рабочих местах»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 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i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Cs/>
          <w:i/>
          <w:sz w:val="16"/>
          <w:szCs w:val="16"/>
          <w:highlight w:val="none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  <w:r>
        <w:rPr>
          <w:rFonts w:ascii="PT Astra Serif" w:hAnsi="PT Astra Serif" w:cs="PT Astra Serif"/>
          <w:bCs/>
          <w:i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25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«МР 4.3.0388-25. 4.3. Методы контроля. Физические факторы. Инфразвук на рабочих местах.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u w:val="none"/>
              </w:rPr>
              <w:t xml:space="preserve">Методические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рекомен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дации» (утв. Главным государственным санитарным врачом РФ 04.08.2025)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 рабочих местах контролируется инфразвук, создаваемый оборудованием (продукцией) машиностроения, приборостроения и электротехники производственного и инженерно-технического назначения, машинами и механизмами, имеющими поверхности больших размеров, соверш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ающими низкочастотные механические колебания (инфразвук механического происхождения) или турбулентные потоки газов или жидкостей (инфразвук аэродинамического или гидродинамического происхождения); инфразвук, создаваемый инженерно-техническими системами воз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духоподготовки, воздухоочистки и фильтрации; инфразвук, создаваемый транспортом, конвертерными и мартеновскими цехами металлургических производств, компрессорными газоперекачивающими станциями, портовыми кранами и др.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Методические рекомендации описывают порядок и условия проведения измерений инфразвука на рабочих местах с целью оценки соответствия его параметров гигиеническим нормативам.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Внесены изменения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</w:t>
      </w: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стей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</w:rPr>
        <w:t xml:space="preserve"> 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99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u w:val="none"/>
              </w:rPr>
              <w:t xml:space="preserve">Постановление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Прави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тельства РФ от 26.01.2026 № 39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«О внесении изменений в постановление Правительства Российской Федерации от 14 октября 2022 г. № 1830»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указанный перечень включена новая позиция - «Рабочие места в общественных и иных некоммерческих организациях, осуществляющих в качестве основного один из видов деятельности, предусмотренный кодом 94 Общероссийского классификатора видов экономической деят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ельности (ОКВЭД 2) ОК 029-2014 (КДЕС Ред. 2), - деятельность общественных и прочих некоммерческих организаций».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Кроме того, в новой редакции изложен перечень видов экономической деятельности, включенных в Общероссийский классификатор видов экономической деятельности (ОКВЭД 2) ОК 029-2014 (КДЕС Ред. 2), осуществляемых в качестве основного в организациях - субъектах 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алого предпринимательства (включая работодателей - индивидуальных предпринимателей), отнесенных к микропредприятиям и малым предприятиям.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Настоящее Постановление вступает в силу с 1 сентября 2026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С 1 сентября 2026 года вводится профессиональный стандарт «Инженер-ортезист»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</w:rPr>
        <w:t xml:space="preserve"> 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u w:val="none"/>
              </w:rPr>
              <w:t xml:space="preserve">Приказ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Минтруда России от 02.12.2025 № 679н «Об утверждении профессионального стандарта «Инженер-ортезист»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Целью профессиональной деятельности данных специалистов является оказание услуги по обеспечению инвалидов ортезами по индивидуальным параметрам.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Приводится описание трудовых функций, устанавливаются требования к образованию и обучению, к опыту практической работы, другие характеристики.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Настоящий приказ действует до 1 сентября 2032 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Конституционный Суд предложил временный порядок подсчета и компенсации часов переработки за фактически отработанный лицом, выполнявшим работу вахтовым методом, период, в случае его увольнения до окончания вахты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</w:rPr>
      </w:r>
      <w:r>
        <w:rPr>
          <w:rFonts w:ascii="PT Astra Serif" w:hAnsi="PT Astra Serif" w:cs="PT Astra Serif"/>
          <w:b/>
          <w:bCs/>
          <w:color w:val="000000"/>
          <w:sz w:val="16"/>
          <w:szCs w:val="16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8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39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1"/>
                <w:u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u w:val="none"/>
              </w:rPr>
              <w:t xml:space="preserve">остановление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К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онституционного Суда РФ от 06.02.2026 № 5-П «По делу о проверке конституционности статьи 300 Трудового кодекса Российской Федерации в связи с жалобой гражданина Чернова Сергея Николаевича»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300 ТК РФ признана не соответствующей Конституции РФ, в той мере, в какой она, не предусматривая правил учета рабочего времени и времени отдыха работника, работающего вахтовым методом, в случае его увольнения до окончания вахты, препятствует исчисле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нию переработки рабочего времени за фактически отработанный таким работником период и - в отсутствие в действующем законодательстве правового механизма, который гарантировал бы компенсацию работнику времени отдыха, полагающегося ему в связи с переработкой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рабочего времени в пределах графика работы на вахте и фактически не использованного им при увольнении, - не обеспечивает возможность получения работником денежной компенсации взамен такого отдыха.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Федеральному законодателю надлежит внести необходимые изменения в действующее правовое регулирование.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Впредь до внесения соответствующих изменений при увольнении работника, работающего вахтовым методом, до окончания вахты учитывается рабочее время и время отдыха такого работника за фактически отработанный им период (с момента начала работы до момента прекр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ащения трудового договора). При этом подсчет часов переработки осуществляется исходя из нормы рабочего времени на соответствующий календарный период, исчисленной в порядке, предусмотренном действующим законодательством. При наличии переработки рабочего вре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мени в пределах графика работы на вахте за полагающиеся работнику в связи с такой переработкой и фактически не предоставленные ему дни отдыха должна быть выплачена денежная компенсация в размере, исчисленном по правилам, установленным ТК РФ для оплаты дней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междувахтового отдыха. При этом часы переработки рабочего времени в пределах графика работы на вахте, не кратные целому рабочему дню, подлежат оплате из расчета часовой ставки (части оклада (должностного оклада) за час работы).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 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С 1 сентября 2026 года применяется актуализированный профессиональный стандарт «Врач скорой медицинской помощи»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</w:rPr>
        <w:t xml:space="preserve"> 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Приказ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Минтруда России от 10.11.2025 № 634н 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Об утверждении профессионального стандарта «Врач скорой медицинской помощи»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Целью профессиональной деятельности данных специалистов является оказание скорой, в том числе скорой специализированной, медицинской помощи вне медицинской организации, а также в амбулаторных и стационарных условиях, при заболеваниях, несчастных случаях,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равмах, отравлениях и других состояниях, требующих срочного медицинского вмешательства.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Признается утратившим силу приказ Минтруда России от 14.03.2018 № 133н, которым утвержден аналогичный стандарт.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Настоящий приказ действует до 1 сентября 2032 года.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Работодателям организаций дорожной отрасли предлагается присоединиться к Отраслевому соглашению по дорожному хозяйству Российской Федерации на 2026 - 2028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 годы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</w:rPr>
        <w:t xml:space="preserve"> 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414"/>
      </w:tblGrid>
      <w:tr>
        <w:tblPrEx/>
        <w:trPr>
          <w:trHeight w:val="6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beforeAutospacing="0" w:after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u w:val="none"/>
              </w:rPr>
              <w:t xml:space="preserve">Письмо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Минтруда России от 02.02.2026 № 14-4/10/В-1488 «О присоединении к Отраслевому соглашению по дорожному хозяйству Российской Федерации на 2026 - 2028 годы»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PT Astra Serif" w:hAnsi="PT Astra Serif" w:cs="PT Astra Serif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размещено на официальном сайте Минтруда России в сети «Интернет» (www.mintrud.gov.ru).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Если в течение 30 календарных дней со дня официального опубликования настоящего предложения работодателями, не участвовавшими в заключении соглашения, не будет представлен мотивированный письменный отказ присоединиться к нему, то соглашение будет считаться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распространенным на этих работодателей.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Минпросвещения направлены примерные штатные нормативы численности работников отдельных общеобразовательных организаций для обучающихся с ОВЗ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</w:rPr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16"/>
          <w:szCs w:val="16"/>
        </w:rPr>
        <w:t xml:space="preserve"> 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16"/>
          <w:szCs w:val="16"/>
          <w14:ligatures w14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>
        <w:tblPrEx/>
        <w:trPr>
          <w:trHeight w:val="3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beforeAutospacing="0" w:after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Письмо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Минпросвещения России от 15.01.2026 № АВ-64/07 «О направлении информации»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полнение к письмам Минпросвещения России от 23 июня 2025 года № ОК-1835/08 и от 30 июня 2025 года № ОК-1902/08 направлены примерные штатные нормативы численности работников отдельных общеобразовательных организаций, реализующих адаптированные основные обще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образовательные программы для глухих обучающихся, слабослышащих и позднооглохших обучающихся, слепых обучающихся, слабовидящих обучающихся, обучающихся с тяжелыми нарушениями речи, с нарушениями опорно-двигательного аппарата, с задержкой психического разви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тия, с нарушением интеллекта, с расстройствами аутистического спектра, с тяжелыми множественными нарушениями развития.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сообщается, что, принимая во внимание специфику организации деятельности отдельных общеобразовательных организаций для обучающихся с ОВЗ, указанные общеобразовательные организации не принимают участие в достижении показателя «Доля государственных и 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униципальных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 детей субъектов Российской Федерации, вовлеченных в реализацию проектов, направленн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ых на повышение производительности труда», предусмотренного федеральным проектом «Производительность труда» национального проекта «Эффективная и конкурентная экономика».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С 1 сентября 2026 года вступает в силу новый профессиональный стандарт «Специалист по работе с молодежью»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color w:val="000000"/>
          <w:sz w:val="17"/>
        </w:rPr>
        <w:t xml:space="preserve"> 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>
          <w:trHeight w:val="2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beforeAutospacing="0" w:after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Приказ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Минтруда России от 11.11.2025 № 640н «Об утверждении профессионального стандарта "Специалист по работе с молодежью»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16"/>
          <w:szCs w:val="16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Краткое описание вида профессиональной деятельности: решение задач по реализации молодежной политики во всех сферах деятельности, в том числе по защите прав и законных интересов молодежи, обеспечению равных условий для развития и самореализации молодежи, 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озданию условий для участия молодежи в жизни общества, повышению уровня межнационального (межэтнического) и межконфессионального согласия в молодежной среде, формированию системы нравственных и смысловых ориентиров, позволяющих противостоять идеологиям экс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идеологиям, формированию культуры семей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ных отношений, поддержке молодых семей, способствующей улучшению демографической ситуации.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Предусмотрены требования к образованию и обучению, особые условия допуска к работе, другие характеристики.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Утратит силу аналогичный приказ Минтруда России от 12.02.2020 № 59н.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ОХРАНА ТРУДА: ИНТЕРЕСНЫЕ ОТВЕТЫ ОНЛАЙН-ИНСПЕКЦИИ</w:t>
        <w:br/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ЗА ОКТЯБРЬ - НОЯБРЬ 2025 ГОДА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Можно ли наказать работника, если он переодевается в спецодежду во время смены?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Ведомство считает, что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нельзя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Переодевание в спецодежду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должно входить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в рабочее время. Организации следует зафиксировать в ПВТР момент его начала и окончания, а также положение о том, включают ли в него переодевание.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Медосмотры при приеме на работу организует кадровик или специалист по охране труда?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Это делает то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работник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ля которого такую обязанность установил работодатель трудовым договором или должностной инструкцией.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Можно ли выдавать работникам бывшие в употреблении СИЗ с укороченным сроком носки?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Использованные СИЗ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допустимо переводить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олько в дежурные.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/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РАБОТОДАТЕЛЯМ НА ЗАМЕТКУ: ПОЛЕЗНЫЕ ОТВЕТЫ ОНЛАЙН-ИНСПЕКЦИИ ЗА НОЯБРЬ 2025 ГОДА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0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Можно ли заключить договор о полной материальной ответственности с совместителем?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если, в частности, совместитель работает на должности из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спецперечня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Обязан ли сотрудник подписывать договор о полной материальной ответственности?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если специфика работы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предусматривает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заключение такого договора. В случае отказа сотрудника можно привлечь к дисциплинарной ответственности.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Нужно ли брать согласие на наставничество и оплачивать его, если в функции специалиста входит помощь сотрудникам?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Работодатель вправе включить функции по наставничеству в должностные обязанности специалиста. В этом случае доплат не производят.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2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Допустимо ли из-за приема основного работника уволить совместителя – члена избиркома?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поскольку члена участковой избирательной комиссии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запрещено увольнять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 инициативе работодателя до окончания срока полномочий.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right"/>
    </w:pPr>
    <w:fldSimple w:instr="PAGE \* MERGEFORMAT">
      <w:r>
        <w:t xml:space="preserve">1</w:t>
      </w:r>
    </w:fldSimple>
    <w:r/>
    <w:r/>
  </w:p>
  <w:p>
    <w:pPr>
      <w:pStyle w:val="7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521167&amp;dst=100009&amp;demo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Касаткина Светлана</cp:lastModifiedBy>
  <cp:revision>27</cp:revision>
  <dcterms:modified xsi:type="dcterms:W3CDTF">2026-02-25T05:52:59Z</dcterms:modified>
</cp:coreProperties>
</file>