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54" w:rsidRDefault="001B6E54" w:rsidP="001B6E54">
      <w:pPr>
        <w:spacing w:after="150" w:line="240" w:lineRule="auto"/>
        <w:jc w:val="right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Приложение №1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к постановлению администрации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от 14.02.2018г. № 5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B6E54" w:rsidRDefault="001B6E54" w:rsidP="001B6E54">
      <w:pPr>
        <w:spacing w:after="150"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Муниципальная  программа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"Противодействие экстремизму и профилактика терроризма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в сфере межнациональных  отношений  в  муниципальном образовании «Валамаз» на 2018-2020 годы"</w:t>
      </w:r>
    </w:p>
    <w:p w:rsidR="001B6E54" w:rsidRDefault="001B6E54" w:rsidP="001B6E54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Паспорт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4"/>
        <w:gridCol w:w="6231"/>
      </w:tblGrid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Наименование  программы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Муниципальная целевая программа: 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"Противодействие экстремизму и профилактика терроризма </w:t>
            </w:r>
            <w:r>
              <w:rPr>
                <w:rFonts w:ascii="Roboto" w:eastAsia="Times New Roman" w:hAnsi="Roboto" w:cs="Arial"/>
                <w:bCs/>
                <w:color w:val="282828"/>
                <w:sz w:val="27"/>
                <w:szCs w:val="27"/>
                <w:lang w:eastAsia="ru-RU"/>
              </w:rPr>
              <w:t>в сфере межнациональных  отношений  в  муниципальном образовании «Валамаз» на 2018-2020 годы"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Основание разработки программы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  </w:t>
            </w:r>
            <w:r>
              <w:rPr>
                <w:rFonts w:ascii="Roboto" w:eastAsia="Times New Roman" w:hAnsi="Roboto" w:cs="Arial"/>
                <w:color w:val="282828"/>
                <w:sz w:val="27"/>
                <w:szCs w:val="27"/>
                <w:lang w:eastAsia="ru-RU"/>
              </w:rPr>
              <w:t xml:space="preserve">от 24.06.1999г. № 120-ФЗ «Об основах  системы профилактики безнадзорности и профилактики правонарушений  несовершеннолетних», </w:t>
            </w: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Указ Президента Российской Федерации от 15.06. 2006. № 116 «О мерах по противодействию терроризму».</w:t>
            </w:r>
            <w:proofErr w:type="gramEnd"/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Заказчик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Администрация муниципального образования «Валамаз»  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Исполнители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Администрация муниципального образования «Валамаз» 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Цели программы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Противодействие терроризму и экстремизму и защита жизни граждан, проживающих на территории муниципального образования «Валамаз» от террористических и экстремистских актов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Задачи программы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2.Формирование у населения внутренней </w:t>
            </w: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4.Информирование населения муниципального образования Дзержинское сельское поселение по вопросам противодействия терроризму и экстремизму.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5.Содействие правоохранительным органам в </w:t>
            </w:r>
            <w:proofErr w:type="gramStart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выявлении</w:t>
            </w:r>
            <w:proofErr w:type="gramEnd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правонарушений и преступлений данной категории, а также ликвидации их последствий.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2018-2020 годы.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Ожидаемые результаты от реализации программы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1.Обеспечение условий для успешной социокультурной адаптации молодежи.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  нетерпимости, противодействию этнической  дискриминации.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Источники финансирования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Без  финансирования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Управление программой и </w:t>
            </w:r>
            <w:proofErr w:type="gramStart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контроль  за</w:t>
            </w:r>
            <w:proofErr w:type="gramEnd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 её реализацией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Контроль за</w:t>
            </w:r>
            <w:proofErr w:type="gramEnd"/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выполнением настоящей Программы  осуществляет администрация муниципального образования «Валамаз»</w:t>
            </w:r>
          </w:p>
        </w:tc>
      </w:tr>
      <w:tr w:rsidR="001B6E54" w:rsidTr="001B6E54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Разработчик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Администрация муниципального образования «Валамаз»</w:t>
            </w:r>
          </w:p>
        </w:tc>
      </w:tr>
    </w:tbl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Программа "Противодействие экстремизму и профилактика терроризма на территории муниципального образования </w:t>
      </w:r>
      <w:r>
        <w:rPr>
          <w:rFonts w:ascii="Roboto" w:eastAsia="Times New Roman" w:hAnsi="Roboto" w:cs="Times New Roman"/>
          <w:color w:val="282828"/>
          <w:sz w:val="27"/>
          <w:szCs w:val="27"/>
          <w:lang w:eastAsia="ru-RU"/>
        </w:rPr>
        <w:t>«Валамаз»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на 2018-2020 годы»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Раздел 1.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Содержание проблемы и обоснование необходимости её решения программными методами</w:t>
      </w:r>
    </w:p>
    <w:p w:rsidR="001B6E54" w:rsidRDefault="001B6E54" w:rsidP="001B6E54">
      <w:pPr>
        <w:spacing w:after="150" w:line="240" w:lineRule="auto"/>
        <w:jc w:val="both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</w:r>
      <w:r>
        <w:rPr>
          <w:rFonts w:ascii="Roboto" w:eastAsia="Times New Roman" w:hAnsi="Roboto" w:cs="Times New Roman"/>
          <w:color w:val="282828"/>
          <w:sz w:val="27"/>
          <w:szCs w:val="27"/>
          <w:lang w:eastAsia="ru-RU"/>
        </w:rPr>
        <w:t>«Валамаз»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проявляется в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виде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1B6E54" w:rsidRDefault="001B6E54" w:rsidP="001B6E54">
      <w:pPr>
        <w:spacing w:after="150" w:line="240" w:lineRule="auto"/>
        <w:jc w:val="both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Наиболее экстремистки </w:t>
      </w:r>
      <w:proofErr w:type="spell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рискогенной</w:t>
      </w:r>
      <w:proofErr w:type="spell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Таким образом, экстремизм, терроризм и преступность представляют реальную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 xml:space="preserve">угрозу общественной безопасности,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подрывают авторитет органов местного самоуправления и оказывают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 сельском поселении.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Программа является документом, открытым для внесения изменений и дополнениями.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2.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Цели и задачи Программы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  «Валамаз»,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Основными задачами реализации Программы являются: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нормативно-правовое обеспечение антитеррористических действий;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анализ и учет опыта борьбы с терроризмом;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всестороннее обеспечение осуществляемых специальных и идеологических мероприятий;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spell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воспитательно</w:t>
      </w:r>
      <w:proofErr w:type="spell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-идеологическое дифференцированное воздействие на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>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неуклонное обеспечение неотвратимости наказания за террористические преступления в соответствии с законом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тверждение основ гражданской идентичности, как начала, объединяющего всех жителей муниципального образования 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воспитание культуры толерантности и межнационального согласия;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достижение необходимого уровня правовой культуры граждан как основы толерантного сознания и поведения;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азработка и реализация в муниципальных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разработка и реализация в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учреждениях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дошкольного, начального, среднего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3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Нормативное обеспечение программы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Правовую основу для реализации программы определили: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б) Указ Президента Российской Федерации от 15.06. 2006. № 116 «О мерах по противодействию терроризму».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в) Разработка и принятие дополнительных нормативных правовых актов для обеспечения достижения целей реализации программы.</w:t>
      </w:r>
      <w:proofErr w:type="gramEnd"/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4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Основные мероприятия Программы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1.Создание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2.Последовательное обеспечение конституционных прав, гарантирующих равенство граждан любой расы и национальности, а также свободу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>вероисповедания;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3.В сфере культуры и воспитании молодежи: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- утверждение концепции </w:t>
      </w:r>
      <w:proofErr w:type="spell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многокультурности</w:t>
      </w:r>
      <w:proofErr w:type="spell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 многоукладности российской жизни;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-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развитие художественной самодеятельности на основе различных народных традиций и культурного наследия.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4.В сфере организации работы библиотеки: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5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Организация управления реализацией Программы и </w:t>
      </w:r>
      <w:proofErr w:type="gramStart"/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контроль за</w:t>
      </w:r>
      <w:proofErr w:type="gramEnd"/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ходом её выполнения.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Контроль за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реализацией программы осуществляет Администрация МО «Валамаз»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Ответственными  за  выполнение  мероприятий  Программы  является исполнитель  Программы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.</w:t>
      </w:r>
      <w:proofErr w:type="gramEnd"/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Раздел 6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Кадровая  политика  противодействия  терроризму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Кадровое обеспечение противодействия  терроризму  осуществляется  по следующим  основным  направлениям:</w:t>
      </w:r>
    </w:p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а) подготовка и переподготовка сотрудников, участвующих в противодействии терроризму;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б) антитеррористическая  подготовка  сотрудников  органов  местного самоуправления, участвующих в рамках своих полномочий в противодействии терроризму;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кибертерроризму</w:t>
      </w:r>
      <w:proofErr w:type="spell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 другим его видам).</w:t>
      </w:r>
      <w:proofErr w:type="gramEnd"/>
    </w:p>
    <w:p w:rsidR="001B6E54" w:rsidRDefault="001B6E54" w:rsidP="001B6E54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B6E54" w:rsidRDefault="001B6E54" w:rsidP="001B6E54">
      <w:pPr>
        <w:spacing w:line="240" w:lineRule="auto"/>
        <w:jc w:val="center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lastRenderedPageBreak/>
        <w:t xml:space="preserve">Раздел 6. Ожидаемые результаты реализации Программы 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Программа  носит  социальный  характер, основными  критериями ее эффективности  являются  антитеррористическая  безопасность  населения  и социальной  сферы  муниципального  образования «Валамаз»  и профилактика экстремистской  деятельности.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Социальная  и  бюджетная  эффективность  реализации Программы оценивается по  следующим  критериям: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- соответствие  плановых 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значений  показателей  конечного  результата выполнения  Программы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фактическим  значениям  показателей;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- степень  достижения  запланированных  результатов.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Социальный  эффект  от  реализации мероприятий  Программы  будет выражен в 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удовлетворении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потребности  жителей  муниципального  образования «Валамаз» в  защищенности  от  актов  терроризма  и  проявлений  экстремизма, повышении  степени  толерантности  общества.</w:t>
      </w:r>
    </w:p>
    <w:p w:rsidR="001B6E54" w:rsidRDefault="001B6E54" w:rsidP="001B6E54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Выполнение  Программы  создаст  условия  для  дальнейшего  укрепления социально-политической  стабильности  общества, законности  и  правопорядка, межнационального  и  межконфессионального  согласия  в муниципальном образовании «Валамаз».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План мероприятий по реализации муниципальной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программы "Противодействие экстремизму и профилактика терроризма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на территории муниципального образования «Валамаз»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на 2018-2020 годы"</w:t>
      </w:r>
    </w:p>
    <w:tbl>
      <w:tblPr>
        <w:tblW w:w="12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5"/>
        <w:gridCol w:w="4600"/>
        <w:gridCol w:w="1384"/>
        <w:gridCol w:w="748"/>
        <w:gridCol w:w="1128"/>
        <w:gridCol w:w="1268"/>
        <w:gridCol w:w="2412"/>
      </w:tblGrid>
      <w:tr w:rsidR="001B6E54" w:rsidTr="001B6E54">
        <w:trPr>
          <w:jc w:val="center"/>
        </w:trPr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ind w:right="-619"/>
              <w:rPr>
                <w:rFonts w:ascii="Roboto" w:eastAsia="Times New Roman" w:hAnsi="Roboto" w:cs="Times New Roman"/>
                <w:color w:val="2828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lang w:eastAsia="ru-RU"/>
              </w:rPr>
              <w:t xml:space="preserve"> № </w:t>
            </w:r>
            <w:proofErr w:type="gramStart"/>
            <w:r>
              <w:rPr>
                <w:rFonts w:ascii="Roboto" w:eastAsia="Times New Roman" w:hAnsi="Roboto" w:cs="Times New Roman"/>
                <w:color w:val="282828"/>
                <w:lang w:eastAsia="ru-RU"/>
              </w:rPr>
              <w:t>п</w:t>
            </w:r>
            <w:proofErr w:type="gramEnd"/>
            <w:r>
              <w:rPr>
                <w:rFonts w:ascii="Roboto" w:eastAsia="Times New Roman" w:hAnsi="Roboto" w:cs="Times New Roman"/>
                <w:color w:val="282828"/>
                <w:lang w:eastAsia="ru-RU"/>
              </w:rPr>
              <w:t>/п</w:t>
            </w:r>
          </w:p>
        </w:tc>
        <w:tc>
          <w:tcPr>
            <w:tcW w:w="4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испол</w:t>
            </w:r>
            <w:proofErr w:type="spellEnd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7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3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B6E54" w:rsidTr="001B6E5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E54" w:rsidRDefault="001B6E54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E54" w:rsidRDefault="001B6E54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E54" w:rsidRDefault="001B6E54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E54" w:rsidRDefault="001B6E54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Прочие</w:t>
            </w: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6E54" w:rsidRDefault="001B6E54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</w:tr>
      <w:tr w:rsidR="001B6E54" w:rsidTr="001B6E54">
        <w:trPr>
          <w:jc w:val="center"/>
        </w:trPr>
        <w:tc>
          <w:tcPr>
            <w:tcW w:w="12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282828"/>
                <w:sz w:val="24"/>
                <w:szCs w:val="24"/>
                <w:lang w:eastAsia="ru-RU"/>
              </w:rPr>
              <w:t>Организационные и пропагандистские мероприятия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Проведение тематических мероприятий для детей и молодёжи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СДК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библиотека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СДК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библиотека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Информирование населения по вопросам противодействия терроризму, предупреждению террористических актов, поведению в </w:t>
            </w:r>
            <w:proofErr w:type="gramStart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условиях</w:t>
            </w:r>
            <w:proofErr w:type="gramEnd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возникновения ЧС через СМИ и на официальном сайте администрации в сети Интернет;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Изготовление печатных памяток по тематике противодействия   экстремизму и терроризму         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</w:tc>
      </w:tr>
      <w:tr w:rsidR="001B6E54" w:rsidTr="001B6E54">
        <w:trPr>
          <w:trHeight w:val="1397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Приобретение и размещение плакатов, брошюр, листовок  по профилактике экстремизма и терроризма на территории поселения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Глава  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поселения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Руководители предприятий,             учреждений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Мониторинг систем охраны  и сигнализации детских учреждений, школы, дома культуры, магазинов, их охрану в нерабочее время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Руководители предприятий,             учреждений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  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Руководители предприятий,             учреждений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Сотрудничество администрации поселения с депутатами поселения, руководителями,  с гражданами  в  организации противодействия экстремисткой деятельности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      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</w:tr>
      <w:tr w:rsidR="001B6E54" w:rsidTr="001B6E54">
        <w:trPr>
          <w:trHeight w:val="66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Организация и проведение тренировок, учений по действиям работников учреждений, предприятий, учебных заведений, при обнаружении подозрительных предметов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(1 раз в полугодие)  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Администрация  </w:t>
            </w:r>
            <w:proofErr w:type="spellStart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ения</w:t>
            </w:r>
            <w:proofErr w:type="spellEnd"/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, руководители предприятий и учреждений</w:t>
            </w:r>
          </w:p>
        </w:tc>
      </w:tr>
      <w:tr w:rsidR="001B6E54" w:rsidTr="001B6E54">
        <w:trPr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всего финансовых средств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B6E54" w:rsidRDefault="001B6E54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B6E54" w:rsidRDefault="001B6E54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1B6E54" w:rsidRDefault="001B6E54" w:rsidP="001B6E54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Примечания: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1. 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экстремистской деятельности (Федеральный закон от 25 июля 2002 года N 114-ФЗ "О противодействии экстремистской деятельности".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2.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Комплексная муниципальная программа "Противодействие экстремизму и профилактика терроризма на территории муниципального образования «Валамаз» на 2018-2020 годы" подлежит корректировке и внесению  изменений и дополнений.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</w:p>
    <w:p w:rsidR="001B6E54" w:rsidRDefault="001B6E54" w:rsidP="001B6E54">
      <w:pPr>
        <w:spacing w:after="150"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B6E54" w:rsidRDefault="001B6E54" w:rsidP="001B6E54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B6E54" w:rsidRDefault="001B6E54" w:rsidP="001B6E54">
      <w:pPr>
        <w:tabs>
          <w:tab w:val="left" w:pos="1245"/>
        </w:tabs>
      </w:pPr>
    </w:p>
    <w:p w:rsidR="00012850" w:rsidRDefault="001B6E54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D3"/>
    <w:rsid w:val="00040A58"/>
    <w:rsid w:val="00116156"/>
    <w:rsid w:val="001B6E54"/>
    <w:rsid w:val="0062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2534</Words>
  <Characters>14447</Characters>
  <Application>Microsoft Office Word</Application>
  <DocSecurity>0</DocSecurity>
  <Lines>120</Lines>
  <Paragraphs>33</Paragraphs>
  <ScaleCrop>false</ScaleCrop>
  <Company/>
  <LinksUpToDate>false</LinksUpToDate>
  <CharactersWithSpaces>16948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2020-12-11T04:21:00Z</dcterms:created>
  <dcterms:modified xsi:type="dcterms:W3CDTF">2020-12-11T04:21:00Z</dcterms:modified>
</cp:coreProperties>
</file>