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Приложение №1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D659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«Красногорский район»</w:t>
      </w:r>
    </w:p>
    <w:p w:rsidR="003D659C" w:rsidRPr="00E308EC" w:rsidRDefault="003D659C" w:rsidP="00E308EC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от «</w:t>
      </w:r>
      <w:r w:rsidR="00496474">
        <w:rPr>
          <w:rFonts w:ascii="Times New Roman" w:eastAsia="Lucida Sans Unicode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» </w:t>
      </w:r>
      <w:r w:rsidR="00496474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августа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2020 года № </w:t>
      </w:r>
      <w:r w:rsidR="00496474">
        <w:rPr>
          <w:rFonts w:ascii="Times New Roman" w:eastAsia="Lucida Sans Unicode" w:hAnsi="Times New Roman" w:cs="Times New Roman"/>
          <w:color w:val="000000"/>
          <w:sz w:val="24"/>
          <w:szCs w:val="24"/>
        </w:rPr>
        <w:t>447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ИНФОРМАЦИОННОЕ СООБЩЕНИЕ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«Красногорский район» сообщает</w:t>
      </w:r>
      <w:r w:rsid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3E5A" w:rsidRP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открытой по составу участников и по форме подачи предложений о цене имущества продажи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недвижимого имущества, находящегося в собственности муниципального образования «Красногорский район»</w:t>
      </w:r>
      <w:r w:rsidR="000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6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посредством публичного предложения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электронной форме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продаж: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Одновременно с вышеуказанным объектом недвижимости продается земельный участок с кадастровым номером 18:15:021002:560, категория земель: земли населенных пунктов, разрешенное использование: амбулаторное ветеринарное обслуживание (3.10.1), общей площадью 779,0 кв. м,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683E5A" w:rsidRPr="00683E5A" w:rsidRDefault="00683E5A" w:rsidP="00683E5A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продажи</w:t>
      </w:r>
      <w:r w:rsidR="0094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(цена первоначального предложения)</w:t>
      </w:r>
      <w:r w:rsidRP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254 000,00 руб. (без НДС), </w:t>
      </w:r>
      <w:r w:rsidRPr="0068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стоимость нежилого здания -140 000,00 руб. (без НДС) и стоимость земельного участка -114 000,00 руб. (НДС не облагается).</w:t>
      </w:r>
    </w:p>
    <w:p w:rsidR="00683E5A" w:rsidRPr="00683E5A" w:rsidRDefault="00683E5A" w:rsidP="00683E5A">
      <w:pPr>
        <w:widowControl w:val="0"/>
        <w:suppressAutoHyphens/>
        <w:spacing w:after="0" w:line="240" w:lineRule="auto"/>
        <w:ind w:firstLine="426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="00A95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5A5B" w:rsidRPr="00A9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(20% начальной цены продажи)</w:t>
      </w:r>
      <w:r w:rsidRPr="006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50 800,00 руб.</w:t>
      </w:r>
      <w:r w:rsidR="00A95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(без учета НДС);</w:t>
      </w:r>
    </w:p>
    <w:p w:rsidR="00683E5A" w:rsidRPr="00683E5A" w:rsidRDefault="00683E5A" w:rsidP="00683E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Величина снижения </w:t>
      </w:r>
      <w:r w:rsidR="00941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цены первоначального предложения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(шаг понижения) – </w:t>
      </w:r>
      <w:r w:rsidRPr="00683E5A">
        <w:rPr>
          <w:rFonts w:ascii="Times New Roman" w:eastAsia="Calibri" w:hAnsi="Times New Roman" w:cs="Times New Roman"/>
          <w:sz w:val="24"/>
          <w:szCs w:val="24"/>
          <w:lang w:eastAsia="ru-RU"/>
        </w:rPr>
        <w:t>10% от начальной цены приватизируемого имущества, что составляет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25 400,00 рублей;</w:t>
      </w:r>
    </w:p>
    <w:p w:rsidR="00683E5A" w:rsidRPr="00683E5A" w:rsidRDefault="00683E5A" w:rsidP="00683E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Минимальная цена предложения, по которой может быть продано имущество (цена отсечения) - </w:t>
      </w:r>
      <w:r w:rsidRPr="00683E5A">
        <w:rPr>
          <w:rFonts w:ascii="Times New Roman" w:eastAsia="Calibri" w:hAnsi="Times New Roman" w:cs="Times New Roman"/>
          <w:sz w:val="24"/>
          <w:szCs w:val="24"/>
          <w:lang w:eastAsia="ru-RU"/>
        </w:rPr>
        <w:t>50% от начальной цены имущества, что составляет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127 000,00 рублей;</w:t>
      </w:r>
    </w:p>
    <w:p w:rsidR="00683E5A" w:rsidRPr="00683E5A" w:rsidRDefault="00683E5A" w:rsidP="00683E5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Величина повышения цены </w:t>
      </w:r>
      <w:r w:rsidRPr="00683E5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83E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предусмотренном Федеральным законом «О приватизации государственного и муниципального имущества» от 21.12.2001г. № 178-ФЗ (шаг аукциона) – 50% шага понижения, что составляет 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12 700,00 рублей.</w:t>
      </w:r>
    </w:p>
    <w:p w:rsidR="00683E5A" w:rsidRPr="00683E5A" w:rsidRDefault="00683E5A" w:rsidP="00091F3B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Покупатель обязан исчислить расчетным методом и уплатить соответствующую сумму НДС в порядке, установленном в статье 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683E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настоящего информационного сообщения.</w:t>
      </w:r>
    </w:p>
    <w:p w:rsidR="00E308EC" w:rsidRPr="00E308EC" w:rsidRDefault="00E308EC" w:rsidP="000F638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предыдущих торгах, объявленных в течение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продаже:</w:t>
      </w:r>
    </w:p>
    <w:tbl>
      <w:tblPr>
        <w:tblStyle w:val="af1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648"/>
        <w:gridCol w:w="1612"/>
        <w:gridCol w:w="2693"/>
      </w:tblGrid>
      <w:tr w:rsidR="00E308EC" w:rsidRPr="00E308EC" w:rsidTr="0042683F">
        <w:trPr>
          <w:trHeight w:val="499"/>
          <w:jc w:val="center"/>
        </w:trPr>
        <w:tc>
          <w:tcPr>
            <w:tcW w:w="534" w:type="dxa"/>
            <w:vAlign w:val="center"/>
          </w:tcPr>
          <w:p w:rsidR="00E308EC" w:rsidRPr="002F118B" w:rsidRDefault="002F118B" w:rsidP="002F118B">
            <w:pPr>
              <w:widowControl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E308EC" w:rsidRPr="002F118B" w:rsidRDefault="00E308EC" w:rsidP="002F118B">
            <w:pPr>
              <w:widowControl w:val="0"/>
              <w:adjustRightInd w:val="0"/>
              <w:ind w:left="283" w:right="-108"/>
              <w:jc w:val="both"/>
            </w:pPr>
            <w:r w:rsidRPr="002F118B">
              <w:t>Адрес объекта, площадь</w:t>
            </w:r>
          </w:p>
        </w:tc>
        <w:tc>
          <w:tcPr>
            <w:tcW w:w="1648" w:type="dxa"/>
          </w:tcPr>
          <w:p w:rsidR="00E308EC" w:rsidRPr="002F118B" w:rsidRDefault="00E308EC" w:rsidP="002F118B">
            <w:pPr>
              <w:widowControl w:val="0"/>
              <w:adjustRightInd w:val="0"/>
              <w:ind w:left="87"/>
              <w:jc w:val="both"/>
            </w:pPr>
            <w:r w:rsidRPr="002F118B">
              <w:t xml:space="preserve">Способ приватизации </w:t>
            </w:r>
          </w:p>
        </w:tc>
        <w:tc>
          <w:tcPr>
            <w:tcW w:w="1612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jc w:val="both"/>
            </w:pPr>
            <w:r w:rsidRPr="002F118B">
              <w:t>Дата торгов</w:t>
            </w:r>
          </w:p>
        </w:tc>
        <w:tc>
          <w:tcPr>
            <w:tcW w:w="2693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jc w:val="both"/>
              <w:rPr>
                <w:color w:val="000000"/>
              </w:rPr>
            </w:pPr>
            <w:r w:rsidRPr="002F118B">
              <w:rPr>
                <w:color w:val="000000"/>
              </w:rPr>
              <w:t xml:space="preserve">    Итоги торгов</w:t>
            </w:r>
          </w:p>
        </w:tc>
      </w:tr>
      <w:tr w:rsidR="00E308EC" w:rsidRPr="00E308EC" w:rsidTr="0042683F">
        <w:trPr>
          <w:trHeight w:val="499"/>
          <w:jc w:val="center"/>
        </w:trPr>
        <w:tc>
          <w:tcPr>
            <w:tcW w:w="534" w:type="dxa"/>
          </w:tcPr>
          <w:p w:rsidR="00E308EC" w:rsidRPr="002F118B" w:rsidRDefault="002F118B" w:rsidP="002F118B">
            <w:pPr>
              <w:widowControl w:val="0"/>
              <w:adjustRightInd w:val="0"/>
              <w:ind w:left="283"/>
              <w:jc w:val="both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308EC" w:rsidRPr="002F118B" w:rsidRDefault="00E308EC" w:rsidP="002F118B">
            <w:pPr>
              <w:widowControl w:val="0"/>
              <w:adjustRightInd w:val="0"/>
              <w:spacing w:after="120"/>
              <w:ind w:left="283" w:right="-108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нежилое здание (комплекс ветстанции), общая площадь 360,4 кв. м, </w:t>
            </w:r>
            <w:proofErr w:type="gramStart"/>
            <w:r w:rsidRPr="002F118B">
              <w:rPr>
                <w:sz w:val="22"/>
                <w:szCs w:val="22"/>
              </w:rPr>
              <w:t>с</w:t>
            </w:r>
            <w:proofErr w:type="gramEnd"/>
            <w:r w:rsidRPr="002F118B">
              <w:rPr>
                <w:sz w:val="22"/>
                <w:szCs w:val="22"/>
              </w:rPr>
              <w:t xml:space="preserve"> </w:t>
            </w:r>
          </w:p>
          <w:p w:rsidR="00E308EC" w:rsidRPr="002F118B" w:rsidRDefault="00E308EC" w:rsidP="002F118B">
            <w:pPr>
              <w:widowControl w:val="0"/>
              <w:adjustRightInd w:val="0"/>
              <w:spacing w:after="120"/>
              <w:ind w:left="283" w:right="-108"/>
              <w:rPr>
                <w:b/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земельным участком, общей площадью 779,0 кв. м, </w:t>
            </w:r>
            <w:proofErr w:type="gramStart"/>
            <w:r w:rsidRPr="002F118B">
              <w:rPr>
                <w:sz w:val="22"/>
                <w:szCs w:val="22"/>
              </w:rPr>
              <w:t>расположенные</w:t>
            </w:r>
            <w:proofErr w:type="gramEnd"/>
            <w:r w:rsidRPr="002F118B">
              <w:rPr>
                <w:sz w:val="22"/>
                <w:szCs w:val="22"/>
              </w:rPr>
              <w:t xml:space="preserve"> по адресу: Удмуртская Республика, Красногорский район, д. </w:t>
            </w:r>
            <w:proofErr w:type="spellStart"/>
            <w:r w:rsidRPr="002F118B">
              <w:rPr>
                <w:sz w:val="22"/>
                <w:szCs w:val="22"/>
              </w:rPr>
              <w:t>Агриколь</w:t>
            </w:r>
            <w:proofErr w:type="spellEnd"/>
            <w:r w:rsidRPr="002F118B">
              <w:rPr>
                <w:sz w:val="22"/>
                <w:szCs w:val="22"/>
              </w:rPr>
              <w:t xml:space="preserve">, ул. Восточная, д.47, </w:t>
            </w:r>
          </w:p>
        </w:tc>
        <w:tc>
          <w:tcPr>
            <w:tcW w:w="1648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 xml:space="preserve">Аукцион </w:t>
            </w:r>
          </w:p>
          <w:p w:rsidR="00E308EC" w:rsidRPr="002F118B" w:rsidRDefault="00E308EC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21.07.2020 г.</w:t>
            </w:r>
          </w:p>
        </w:tc>
        <w:tc>
          <w:tcPr>
            <w:tcW w:w="2693" w:type="dxa"/>
          </w:tcPr>
          <w:p w:rsidR="00E308EC" w:rsidRPr="002F118B" w:rsidRDefault="00E308EC" w:rsidP="002F118B">
            <w:pPr>
              <w:widowControl w:val="0"/>
              <w:adjustRightInd w:val="0"/>
              <w:ind w:left="283"/>
              <w:rPr>
                <w:sz w:val="22"/>
                <w:szCs w:val="22"/>
              </w:rPr>
            </w:pPr>
            <w:r w:rsidRPr="002F118B">
              <w:rPr>
                <w:sz w:val="22"/>
                <w:szCs w:val="22"/>
              </w:rPr>
              <w:t>Аукцион признан несостоявшимся ввиду отсутствия заявок</w:t>
            </w:r>
          </w:p>
        </w:tc>
      </w:tr>
    </w:tbl>
    <w:p w:rsidR="00E308EC" w:rsidRPr="00E308EC" w:rsidRDefault="00E308EC" w:rsidP="002F11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3CA" w:rsidRPr="001D73CA" w:rsidRDefault="001D73CA" w:rsidP="001D73C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состояние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08EC" w:rsidRPr="00E308EC" w:rsidRDefault="001D73CA" w:rsidP="001D73CA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в условно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состоянии, неэксплуатируемое, нуждается в капитальном ремонте,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незначительными изменениями несущих конструкций, существенным износом кровли, оконных и дверных блоков, инженерных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внешней и внутренней отделки,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устаревшими инженерн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системами и оборудованием. Н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центральных 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коммуникаций – предусмотрено водоснабжение, электроснабжение, канализация локальная, отопление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газовое</w:t>
      </w:r>
      <w:r w:rsidRPr="001D7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дату продажи не функционируют.</w:t>
      </w:r>
    </w:p>
    <w:p w:rsidR="001D73CA" w:rsidRDefault="001D73CA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308EC" w:rsidRPr="00E308EC" w:rsidRDefault="000F6387" w:rsidP="000F6387">
      <w:pPr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 в электронной форме (далее –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="002F118B" w:rsidRPr="002F11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проводятся</w:t>
      </w:r>
      <w:r w:rsidR="00E308EC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E308EC"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Федеральным законом от 21.12.2001года №178-ФЗ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имущества в электронной форме», на основании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прогнозного плана приватизации объектов муниципальной собственности</w:t>
      </w:r>
      <w:r w:rsidRPr="00E308EC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муниципального образования «Красногорский район» на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2020 год, утвержденного решением Совета депутатов муниципального образования «Красногорский район» от 24.12.2019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года № 238, постановления Администрации муниципального образования «Красногорский район»</w:t>
      </w:r>
      <w:r w:rsidRPr="00E308EC">
        <w:rPr>
          <w:rFonts w:ascii="Times New Roman" w:eastAsia="Lucida Sans Unicode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6A6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25.08.2020 г.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B6A67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447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касающиеся проведения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нашедшие отражения в настоящем информационном сообщении, регулируются в соответствии с требованиями законодательства</w:t>
      </w:r>
      <w:r w:rsidR="000F6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Собственник выставляемого на продажу муниципального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муниципальное образование «Красногорский район»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Продавец: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«Красногорский район»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продажи (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</w:t>
      </w:r>
      <w:r w:rsidR="002D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«РТС-тендер» (ООО «РТС-тендер»).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- 121151, г. Москва, наб. Тараса Шевченко, 23А, сектор B, 25 этаж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8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</w:p>
    <w:p w:rsidR="009411E2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Способ приватизации: 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в электронной форме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1E2" w:rsidRP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Дата и время начала приема заявок на приобретение имущества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8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с 08-00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Дата и время окончания приема заявок на приобретение имущества: 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1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Место приема заявок: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аукционе подаются в электронной форме на электронной торговой площадке ООО «РТС-тендер» (</w:t>
      </w:r>
      <w:hyperlink r:id="rId9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9707E" w:rsidRPr="0069707E">
        <w:t xml:space="preserve"> </w:t>
      </w:r>
      <w:r w:rsidR="0069707E"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 функционирует круглосуточно.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Дата и время определения участников </w:t>
      </w:r>
      <w:r w:rsidR="007A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с 1</w:t>
      </w:r>
      <w:r w:rsidR="007A47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(по московскому времени).</w:t>
      </w:r>
    </w:p>
    <w:p w:rsidR="00F301A5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Дата проведения </w:t>
      </w:r>
      <w:r w:rsidR="007A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подведения итогов: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3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13-00 (по московскому времени). </w:t>
      </w:r>
    </w:p>
    <w:p w:rsidR="0069707E" w:rsidRDefault="0069707E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является открытой по составу участников. Предложения о цене имущества </w:t>
      </w:r>
      <w:proofErr w:type="gramStart"/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заявляются</w:t>
      </w:r>
      <w:proofErr w:type="gramEnd"/>
      <w:r w:rsidRP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продажи открыто в ходе проведения продажи (открытая форма подачи предложений о цене имущества).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Порядок ознакомления с иной информацией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Продавец предоставляет каждому претенденту возможность предварительного ознакомления с формой заявки, условиями договора купли-продажи, а также информацией о порядке предварительного ознакомления с объектом продажи.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информацией об участии в продаже, о порядке проведения продажи, претенденты могут ознакомиться на официальном сайте муниципального образования «Красногорский район»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http://mo-krasno.ru/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официальном сайте Российской Федерации в сети «Интернет» </w:t>
      </w:r>
      <w:hyperlink r:id="rId11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«Интернет» оператора электронной площадки </w:t>
      </w:r>
      <w:hyperlink r:id="rId12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https://www.rts-tender.ru/</w:t>
        </w:r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адресу: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Удмуртская Республика, Красногорский район, с. Красногорское, ул. Ленина, д.64,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30, в рабочие дни с 8.00 час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15.00 час. по московскому времени. Телефон для справок: 8(34164)21892.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</w:t>
      </w:r>
      <w:r w:rsidR="0069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разъяснении размещенной информации.</w:t>
      </w:r>
    </w:p>
    <w:p w:rsidR="00E308EC" w:rsidRP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условии, что запрос поступил п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родавцу не позднее 5 (пяти) рабочих дней до окончания подачи заявок.</w:t>
      </w:r>
    </w:p>
    <w:p w:rsidR="00E308EC" w:rsidRDefault="00E308EC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 (двух) рабочих д</w:t>
      </w:r>
      <w:r w:rsidR="001B6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со дня поступления запроса Продавец предоставляет О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301A5" w:rsidRPr="00E308EC" w:rsidRDefault="00F301A5" w:rsidP="00E308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подачи заявок на приобретение имущества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</w:t>
      </w:r>
    </w:p>
    <w:p w:rsidR="00E308EC" w:rsidRPr="00E308EC" w:rsidRDefault="00E308EC" w:rsidP="00E308E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продаже муниципального имущества в электронной форме претендентам, ранее не зарегистрированным на электронной площадке, необходимо пройти регистрацию в соответствии с Регламентом электронной площадки Организатора торгов на сайте </w:t>
      </w:r>
      <w:hyperlink r:id="rId13" w:history="1"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proofErr w:type="spellEnd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на электронной площадке осуществляется без взимания платы.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4" w:tgtFrame="_blank" w:history="1">
        <w:r w:rsidRPr="00E308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308EC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от 21 декабря 2001 г. № 178-ФЗ «О приватизации государственного и муниципального имущества».</w:t>
      </w:r>
      <w:proofErr w:type="gramEnd"/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заявки, уведомление об отзыве заявки в течение одного часа поступает в «личный кабинет» Продавца, о чем Претенденту направляется соответствующее уведомление.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</w:t>
      </w:r>
      <w:r w:rsid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продажу, своевременно подавшие з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аявку, представившие надлежащим образом оформленные документы и обеспечившие поступлени</w:t>
      </w:r>
      <w:r w:rsid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задатка на счет, указанный в 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сообщении.</w:t>
      </w:r>
      <w:proofErr w:type="gramEnd"/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A95A5B" w:rsidRPr="00E308EC" w:rsidRDefault="00A95A5B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задатка и его возврата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</w:t>
      </w:r>
      <w:r w:rsidR="00A9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ражданского кодекса</w:t>
      </w: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="00A9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оссийской </w:t>
      </w: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A93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участия в продаже претенденты перечисляют задаток в размере 20% от начальной цены имущества.</w:t>
      </w:r>
    </w:p>
    <w:p w:rsidR="00061F8E" w:rsidRDefault="00A95A5B" w:rsidP="00061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</w:t>
      </w:r>
      <w:r w:rsidRPr="00A9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</w:t>
      </w:r>
      <w:proofErr w:type="gramStart"/>
      <w:r w:rsidRPr="00A9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06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6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</w:t>
      </w:r>
      <w:r w:rsidR="00061F8E" w:rsidRPr="00061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A5B" w:rsidRPr="00A95A5B" w:rsidRDefault="00A95A5B" w:rsidP="00061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перечисляется на реквизиты оператора электронной площадки: </w:t>
      </w: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5433"/>
      </w:tblGrid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«РТС-тендер» </w:t>
            </w:r>
          </w:p>
        </w:tc>
      </w:tr>
      <w:tr w:rsidR="00A45390" w:rsidRPr="00A45390" w:rsidTr="00A54FD2">
        <w:trPr>
          <w:trHeight w:val="247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ФИЛИАЛ ПАО «СОВКОМБАНК» Г. МОСКВА </w:t>
            </w:r>
          </w:p>
        </w:tc>
      </w:tr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40702810600005001156 </w:t>
            </w:r>
          </w:p>
        </w:tc>
      </w:tr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Корр. счет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30101810945250000967 </w:t>
            </w:r>
          </w:p>
        </w:tc>
      </w:tr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044525967 </w:t>
            </w:r>
          </w:p>
        </w:tc>
      </w:tr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7710357167 </w:t>
            </w:r>
          </w:p>
        </w:tc>
      </w:tr>
      <w:tr w:rsidR="00A45390" w:rsidRPr="00A45390" w:rsidTr="00A54FD2">
        <w:trPr>
          <w:trHeight w:val="109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433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773001001 </w:t>
            </w:r>
          </w:p>
        </w:tc>
      </w:tr>
      <w:tr w:rsidR="00A45390" w:rsidRPr="00A45390" w:rsidTr="00A54FD2">
        <w:trPr>
          <w:trHeight w:val="385"/>
        </w:trPr>
        <w:tc>
          <w:tcPr>
            <w:tcW w:w="2841" w:type="dxa"/>
          </w:tcPr>
          <w:p w:rsidR="00A45390" w:rsidRPr="00A45390" w:rsidRDefault="00A45390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433" w:type="dxa"/>
          </w:tcPr>
          <w:p w:rsidR="00A45390" w:rsidRPr="00A45390" w:rsidRDefault="00A54FD2" w:rsidP="00A4539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для участия в электронных торгах посредством публичного предложения</w:t>
            </w:r>
            <w:r w:rsidR="00A45390" w:rsidRPr="00A4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Соглашению о внесении гарантийного обеспечения, № аналитического счета _________, без НДС </w:t>
            </w:r>
          </w:p>
        </w:tc>
      </w:tr>
    </w:tbl>
    <w:p w:rsidR="00061F8E" w:rsidRPr="00A95A5B" w:rsidRDefault="00061F8E" w:rsidP="00A95A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A5B" w:rsidRPr="00A95A5B" w:rsidRDefault="00A95A5B" w:rsidP="00061F8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внесения задатка:</w:t>
      </w:r>
      <w:r w:rsidRPr="00A95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должен поступить </w:t>
      </w:r>
      <w:r w:rsidR="00061F8E" w:rsidRPr="00A5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="00061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F8E" w:rsidRPr="00A54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13.00 ч. 28.09.2020 г. </w:t>
      </w:r>
    </w:p>
    <w:p w:rsidR="00A95A5B" w:rsidRPr="0042683F" w:rsidRDefault="00395C0E" w:rsidP="00395C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A5B" w:rsidRPr="004268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обеспечения своевременного поступления задатка на счет Оператора электронной площадки  следует учитывать, </w:t>
      </w:r>
      <w:r w:rsidRPr="004268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платежи разносятся по счетам каждый рабочий день по факту поступления средств по банковским выпискам (то есть банковский день + рабочий день).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возврата задатка: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Лицам, перечислившим задаток для участия в продаже, денежные средства возвращаются в следующем порядке: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5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95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участникам продажи, за исключением его победителя, - в течение 5 (пяти) календарных дней со дня подведения итогов торгов;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5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претендентам, не допущенным к участию в продаже, - в течение 5 (пяти)  календарных дней со дня подписания протокола о признании претендентов участниками торгов;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(пять)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A95A5B" w:rsidRPr="00A95A5B" w:rsidRDefault="00A95A5B" w:rsidP="00A9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продажи засчитывается</w:t>
      </w:r>
      <w:proofErr w:type="gramEnd"/>
      <w:r w:rsidRPr="00A9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E308EC" w:rsidRDefault="00A95A5B" w:rsidP="00A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5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B6A67" w:rsidRPr="00A54FD2" w:rsidRDefault="001B6A67" w:rsidP="00A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308EC" w:rsidRPr="00E308EC" w:rsidRDefault="00E308EC" w:rsidP="00E308EC">
      <w:pPr>
        <w:spacing w:after="0" w:line="240" w:lineRule="auto"/>
        <w:ind w:left="3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документов для участия в аукционе и требования к их оформлению: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на участие в </w:t>
      </w:r>
      <w:r w:rsidR="00A54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 предоставляют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в том числе индивидуальные предприниматели,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предоставляют:</w:t>
      </w:r>
    </w:p>
    <w:p w:rsidR="00E308EC" w:rsidRPr="00E308EC" w:rsidRDefault="00E308EC" w:rsidP="00E308EC">
      <w:pPr>
        <w:spacing w:after="0" w:line="240" w:lineRule="auto"/>
        <w:ind w:left="30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личность, или копии всех его листов.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 должна прилагаться опись представленных документов, подписанная претендентом или его уполномоченным представителем.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 либо Организатора, и отправитель несет ответственность за подлинность и достоверность таких документов и сведений.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имеющего право действовать от имени соответственно Продавца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54FD2" w:rsidRDefault="00A54FD2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проведения </w:t>
      </w:r>
      <w:r w:rsidR="00E52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продажи посредством публичного предложения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П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определения участников, указанный в информационном сообщении о проведении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 электронной площадки через «личный кабинет» продавца обесп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ечивает доступ продавца к </w:t>
      </w:r>
      <w:proofErr w:type="spellStart"/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претендентами заявкам и документам, а также к журналу приема заявок.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оснований отказа.</w:t>
      </w:r>
      <w:proofErr w:type="gramEnd"/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 отказе в признании участниками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оснований отказа.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претендентах, не допущенных к участию в </w:t>
      </w:r>
      <w:r w:rsidR="00E5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335396" w:rsidRPr="00335396" w:rsidRDefault="00335396" w:rsidP="00A93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</w:t>
      </w:r>
      <w:r w:rsidR="00A9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о цене имущества на каждом «</w:t>
      </w:r>
      <w:r w:rsidRPr="0033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шаге понижения</w:t>
      </w:r>
      <w:r w:rsidR="00A9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3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335396" w:rsidRPr="00335396" w:rsidRDefault="00335396" w:rsidP="00A93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любой из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 Положением </w:t>
      </w:r>
      <w:r w:rsidRPr="00335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</w:t>
      </w:r>
      <w:proofErr w:type="gramEnd"/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неподтверждения</w:t>
      </w:r>
      <w:proofErr w:type="spellEnd"/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участниками предложения о цене имущества;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335396" w:rsidRPr="00335396" w:rsidRDefault="00335396" w:rsidP="00A93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335396" w:rsidRPr="00335396" w:rsidRDefault="00335396" w:rsidP="00A93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35396" w:rsidRPr="00335396" w:rsidRDefault="00335396" w:rsidP="00335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E308EC" w:rsidRDefault="00335396" w:rsidP="0033539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r w:rsidR="00E64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01C" w:rsidRPr="00E308EC" w:rsidRDefault="00E6401C" w:rsidP="0033539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заключения договора купли-продажи и оплаты имущества</w:t>
      </w:r>
    </w:p>
    <w:p w:rsidR="00E308EC" w:rsidRDefault="00E308EC" w:rsidP="00E6401C">
      <w:pPr>
        <w:pStyle w:val="TextBasTxt"/>
        <w:ind w:firstLine="709"/>
        <w:rPr>
          <w:shd w:val="clear" w:color="auto" w:fill="FFFFFF"/>
        </w:rPr>
      </w:pPr>
      <w:r w:rsidRPr="00E308EC">
        <w:t xml:space="preserve">В течение пяти рабочих дней </w:t>
      </w:r>
      <w:proofErr w:type="gramStart"/>
      <w:r w:rsidRPr="00E308EC">
        <w:t>с даты подведения</w:t>
      </w:r>
      <w:proofErr w:type="gramEnd"/>
      <w:r w:rsidRPr="00E308EC">
        <w:t xml:space="preserve"> итогов </w:t>
      </w:r>
      <w:r w:rsidR="00E6401C">
        <w:t>продажи</w:t>
      </w:r>
      <w:r w:rsidRPr="00E308EC">
        <w:t xml:space="preserve"> с победителем заключается договор купли-продажи.</w:t>
      </w:r>
      <w:r w:rsidR="00E6401C" w:rsidRPr="00E6401C">
        <w:rPr>
          <w:shd w:val="clear" w:color="auto" w:fill="FFFFFF"/>
        </w:rPr>
        <w:t xml:space="preserve"> </w:t>
      </w:r>
      <w:r w:rsidR="00E6401C" w:rsidRPr="00307D20">
        <w:rPr>
          <w:shd w:val="clear" w:color="auto" w:fill="FFFFFF"/>
        </w:rPr>
        <w:t xml:space="preserve">Договор купли-продажи имущества </w:t>
      </w:r>
      <w:r w:rsidR="00E6401C">
        <w:rPr>
          <w:shd w:val="clear" w:color="auto" w:fill="FFFFFF"/>
        </w:rPr>
        <w:t xml:space="preserve">может быть </w:t>
      </w:r>
      <w:r w:rsidR="00E6401C" w:rsidRPr="00307D20">
        <w:rPr>
          <w:shd w:val="clear" w:color="auto" w:fill="FFFFFF"/>
        </w:rPr>
        <w:t>заключ</w:t>
      </w:r>
      <w:r w:rsidR="00E6401C">
        <w:rPr>
          <w:shd w:val="clear" w:color="auto" w:fill="FFFFFF"/>
        </w:rPr>
        <w:t>ен</w:t>
      </w:r>
      <w:r w:rsidR="00E6401C" w:rsidRPr="00307D20">
        <w:rPr>
          <w:shd w:val="clear" w:color="auto" w:fill="FFFFFF"/>
        </w:rPr>
        <w:t xml:space="preserve"> в </w:t>
      </w:r>
      <w:r w:rsidR="00E6401C">
        <w:rPr>
          <w:shd w:val="clear" w:color="auto" w:fill="FFFFFF"/>
        </w:rPr>
        <w:t>форме электронного документа</w:t>
      </w:r>
      <w:r w:rsidR="00E6401C" w:rsidRPr="00307D20">
        <w:rPr>
          <w:shd w:val="clear" w:color="auto" w:fill="FFFFFF"/>
        </w:rPr>
        <w:t>.</w:t>
      </w:r>
    </w:p>
    <w:p w:rsidR="00E6401C" w:rsidRPr="00E6401C" w:rsidRDefault="00E6401C" w:rsidP="00E6401C">
      <w:pPr>
        <w:pStyle w:val="TextBasTxt"/>
        <w:ind w:firstLine="709"/>
        <w:rPr>
          <w:shd w:val="clear" w:color="auto" w:fill="FFFFFF"/>
        </w:rPr>
      </w:pPr>
      <w:r w:rsidRPr="00E6401C">
        <w:rPr>
          <w:shd w:val="clear" w:color="auto" w:fill="FFFFFF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E6401C" w:rsidRPr="00E6401C" w:rsidRDefault="00E6401C" w:rsidP="00E6401C">
      <w:pPr>
        <w:pStyle w:val="TextBasTxt"/>
        <w:ind w:firstLine="709"/>
        <w:rPr>
          <w:shd w:val="clear" w:color="auto" w:fill="FFFFFF"/>
        </w:rPr>
      </w:pPr>
      <w:r w:rsidRPr="00E6401C">
        <w:rPr>
          <w:shd w:val="clear" w:color="auto" w:fill="FFFFF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6401C" w:rsidRPr="00E6401C" w:rsidRDefault="00E6401C" w:rsidP="00E6401C">
      <w:pPr>
        <w:pStyle w:val="TextBasTxt"/>
        <w:ind w:firstLine="709"/>
        <w:rPr>
          <w:shd w:val="clear" w:color="auto" w:fill="FFFFFF"/>
        </w:rPr>
      </w:pPr>
      <w:r w:rsidRPr="00E6401C">
        <w:rPr>
          <w:shd w:val="clear" w:color="auto" w:fill="FFFFFF"/>
        </w:rPr>
        <w:t xml:space="preserve">Покупатель в течение десяти календарных дней </w:t>
      </w:r>
      <w:proofErr w:type="gramStart"/>
      <w:r w:rsidRPr="00E6401C">
        <w:rPr>
          <w:shd w:val="clear" w:color="auto" w:fill="FFFFFF"/>
        </w:rPr>
        <w:t>с даты заключения</w:t>
      </w:r>
      <w:proofErr w:type="gramEnd"/>
      <w:r w:rsidRPr="00E6401C">
        <w:rPr>
          <w:shd w:val="clear" w:color="auto" w:fill="FFFFFF"/>
        </w:rPr>
        <w:t xml:space="preserve"> договора купли-продажи оплачивает стоимость имущества.</w:t>
      </w:r>
    </w:p>
    <w:p w:rsidR="00E308EC" w:rsidRPr="00915F31" w:rsidRDefault="00915F31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имущества: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Отделение –НБ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расчетный счет № 40101810922020019001 в УФК по 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(Администрация муниципального образования «Красногорский район») Отделение –НБ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Доходы от продажи земельного участка под зданием).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 обязан </w:t>
      </w:r>
      <w:r w:rsidR="0091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рассчитать и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уплатить в бюджет соответствующую сумму Н</w:t>
      </w:r>
      <w:proofErr w:type="gramStart"/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 в сл</w:t>
      </w:r>
      <w:proofErr w:type="gramEnd"/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едующем порядке:</w:t>
      </w:r>
    </w:p>
    <w:p w:rsidR="00E308EC" w:rsidRPr="00915F31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</w:t>
      </w:r>
      <w:r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Покупателем является </w:t>
      </w:r>
      <w:r w:rsidRPr="00915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юридическое лицо</w:t>
      </w:r>
      <w:r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</w:t>
      </w:r>
      <w:r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соответствующую сумму НДС в порядке, установленном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Покупателем является </w:t>
      </w:r>
      <w:r w:rsidRPr="00915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лицо</w:t>
      </w:r>
      <w:r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Покупатель уплачивает соответствующую сумму НДС на счет Продавца</w:t>
      </w:r>
      <w:r w:rsidR="00915F31" w:rsidRP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реквизитам, указ</w:t>
      </w:r>
      <w:r w:rsidR="009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анным в договоре купли-продажи</w:t>
      </w: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Функции налогового агента по перечислению суммы НДС в бюджет возлагаются на Продавца.</w:t>
      </w:r>
    </w:p>
    <w:p w:rsidR="00E308EC" w:rsidRPr="00E308EC" w:rsidRDefault="00E308EC" w:rsidP="00E308EC">
      <w:pPr>
        <w:spacing w:after="0" w:line="240" w:lineRule="auto"/>
        <w:ind w:left="270" w:right="19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Переход права собственности на имущество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права собственности на имущество в полном объеме возлагаются на Покупателя.</w:t>
      </w:r>
    </w:p>
    <w:p w:rsidR="00E308EC" w:rsidRPr="00E308EC" w:rsidRDefault="00E308EC" w:rsidP="00E308EC">
      <w:pPr>
        <w:spacing w:after="0" w:line="240" w:lineRule="auto"/>
        <w:ind w:right="19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right="-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E308EC" w:rsidRPr="00E308EC" w:rsidRDefault="00E308EC" w:rsidP="00E308EC">
      <w:pPr>
        <w:spacing w:after="0" w:line="240" w:lineRule="auto"/>
        <w:ind w:right="-3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91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915F31" w:rsidRPr="00E308EC" w:rsidRDefault="00915F31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308EC" w:rsidRPr="00E308EC" w:rsidRDefault="00E308EC" w:rsidP="00E308EC">
      <w:pPr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«Красногорский район» (продавцу имущества)</w:t>
      </w:r>
    </w:p>
    <w:p w:rsidR="00E308EC" w:rsidRPr="00E308EC" w:rsidRDefault="00E308EC" w:rsidP="00E308E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продаже имущества, находящегося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«Красногорский район»</w:t>
      </w:r>
      <w:r w:rsidR="002108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308EC" w:rsidRPr="00E308EC" w:rsidRDefault="00915F31" w:rsidP="00E308E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публичного предложения</w:t>
      </w:r>
      <w:r w:rsidR="00E308EC" w:rsidRPr="00E30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</w:t>
      </w: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для физического лица или ИП, наименование для юридического лица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w:anchor="P302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(устав, положение и т.д.)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108B2" w:rsidRPr="002108B2" w:rsidTr="002108B2">
        <w:trPr>
          <w:trHeight w:val="2884"/>
        </w:trPr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физическим лицом, индивидуальным предпринимателем)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 серия _____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 дата выдачи "__" __________________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___________________________________________________________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в качестве индивидуального предпринимателя: "__" _______________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предпринимателя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юридическим лицом)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 ОГРН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1131" w:type="dxa"/>
            <w:shd w:val="clear" w:color="auto" w:fill="auto"/>
          </w:tcPr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Претендента </w:t>
            </w:r>
            <w:hyperlink w:anchor="P303" w:history="1">
              <w:r w:rsidRPr="002108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(Ф.И.О.)                  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действует на основании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 20__ г.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представителя: серия ____ №</w:t>
            </w: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_______, дата выдачи "__" _________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___________________________________________________________________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жительства: _________________________________________ </w:t>
            </w:r>
          </w:p>
          <w:p w:rsid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по месту пребывания: ________________________________________ </w:t>
            </w:r>
          </w:p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_________________________________________________________</w:t>
            </w: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юридическим лицом.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3"/>
      <w:bookmarkEnd w:id="0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подаче заявки лицом, действующим по доверенности.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решение об участии в продаже имущества (лота) посредством публичного предложения: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______________________, №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 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 (лота): 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имущества (лота): 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обязуется обеспечить поступление задатка в размере _______________________________________________________________________ руб.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(сумма прописью)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и в порядке,  установленные в информационном сообщении на указанный лот.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02"/>
      <w:bookmarkEnd w:id="1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Претендент обязуется:</w:t>
      </w:r>
    </w:p>
    <w:p w:rsid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продажи, проводимой в электронной форме, содержащиеся в информационном сообщении о проведении продажи, размещенном на сайте организатора торгов, продавца – Администрации муниципального образования «Красногорский район» (http://mo-krasno.ru/), официальном сайте Российской Федерации в сети «Интернет» для размещения информации о проведении торгов (www.torgi.gov.ru), а также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Федеральным законом от 21 декабря 2001 года № 178-ФЗ «О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2108B2" w:rsidRPr="002108B2" w:rsidRDefault="002108B2" w:rsidP="002108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признания победителем продажи заключить с Продавцом договор купли-продажи не позднее пяти рабочих дней со дня подведения итогов продажи в соответствии с порядком и требованиями, установленными в информационном сообщении и договоре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Задаток победителя продажи засчитывается в счет оплаты приобретаемого имущества (лота).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Претендент подтверждает, что соответствует требованиям, установленным </w:t>
      </w:r>
      <w:hyperlink r:id="rId15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государственным, муниципальным унитарным предприятием, государственным, муниципальным учреждением;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Закона;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купли-продажи.</w:t>
      </w:r>
    </w:p>
    <w:p w:rsidR="002108B2" w:rsidRPr="002108B2" w:rsidRDefault="002108B2" w:rsidP="002108B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соответствии с Федеральным </w:t>
      </w:r>
      <w:hyperlink r:id="rId17" w:history="1">
        <w:r w:rsidRPr="002108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Платежные реквизиты Претендента: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для физического лица или ИП, наименование для юридического лица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указанием организационно-правовой формы)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2211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Претендента</w:t>
            </w: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банка, в котором у Претендента открыт счет; название города,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где находится банк)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или (л/с)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8B2" w:rsidRPr="002108B2" w:rsidTr="0004296B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108B2" w:rsidRPr="002108B2" w:rsidRDefault="002108B2" w:rsidP="002108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10"/>
            <w:vMerge/>
            <w:tcBorders>
              <w:bottom w:val="nil"/>
              <w:right w:val="nil"/>
            </w:tcBorders>
          </w:tcPr>
          <w:p w:rsidR="002108B2" w:rsidRPr="002108B2" w:rsidRDefault="002108B2" w:rsidP="002108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>)   _______________ (______________________)</w:t>
      </w:r>
      <w:proofErr w:type="gramEnd"/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"__" ___________ 20__ г.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М.П. (при наличии)</w:t>
      </w:r>
    </w:p>
    <w:p w:rsidR="002108B2" w:rsidRPr="002108B2" w:rsidRDefault="002108B2" w:rsidP="00210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B2" w:rsidRPr="002108B2" w:rsidRDefault="002108B2" w:rsidP="002108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2108B2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7C4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7C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</w:t>
      </w:r>
    </w:p>
    <w:p w:rsidR="00E308EC" w:rsidRPr="00E308EC" w:rsidRDefault="00E308EC" w:rsidP="00E308EC">
      <w:pPr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6D17A5" w:rsidRDefault="006D17A5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308EC">
        <w:rPr>
          <w:rFonts w:ascii="Times New Roman" w:eastAsia="Times New Roman" w:hAnsi="Times New Roman" w:cs="Times New Roman"/>
          <w:lang w:eastAsia="ru-RU"/>
        </w:rPr>
        <w:t>с. Красногорское Удмуртской Республики                                                                 ______________2020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на основании протокола </w:t>
      </w:r>
      <w:r w:rsidR="006D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муниципального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посредством публичного предложения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заключили настоящий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нижеследующем:</w:t>
      </w: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приобретает на условиях, изложенных в настоящем договоре, муниципальное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комплекс ветстанции, назначение: нежилое здание, 1 - этажное, общая площадь 360,4 кв. м, инв. № 1937, лит.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1.2. Нежилое здание, указанное в пункте 1.1 настоящего договора принадлежит на праве собственности муниципальному образованию «Красногорский район», что подтверждается свидетельством о государственной регистрации права от 15.05.2015 года, запись регистрации №18-18/005-18/005/006-/015-364/2.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Земельный участок, указанный в пункте 1.1 настоящего договора принадлежит на праве собственности муниципальному образованию «Красногорский район»,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16.12.2019 г., номер государственной регистрации права № 18:15:021002:560-18/005/2019-1 от 16.12.2019 г.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Покупатель претензий к качеству приобретаемого имущества не имеет.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И ПОРЯДОК ОПЛАТЫ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Установленная по итогам 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посредством публичного предложения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имущества составляет ____________________________ рублей, без учета НДС, в том числе: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-нежилое здание ___________ рублей  (без учета НДС),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-земельный участок _____________рублей (НДС не облагается).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составляет ___________ рублей.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Задаток, внесенный Покупателем в сумме ____________ рублей, засчитывается в оплату имущества. За вычетом указанной суммы задатка Покупатель обязан уплатить Продавцу ___________________рублей, которые вносятся в течение 10</w:t>
      </w:r>
      <w:r w:rsid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заключения договора по следующим реквизитам: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i/>
          <w:color w:val="000000"/>
          <w:sz w:val="24"/>
          <w:szCs w:val="24"/>
        </w:rPr>
        <w:t xml:space="preserve">За нежилое здание: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__________ рублей на расчетный счет № 40101810922020019001 в УФК по Удмуртской Республике (Администрация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 муниципального образования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 «Красногорский район»)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Удмуртская Республика г. Ижевск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, БИК 049401001, ОКТМО 94630000, ИНН 1815001093, КПП 183701001, КБК 52611402053050000410, (</w:t>
      </w:r>
      <w:r w:rsidRPr="00E308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Доходы от реализации недвижимого муниципального имущества).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308E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земельный участок под зданием: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 xml:space="preserve">______________ рублей на расчетный счет № 40101810922020019001 в УФК по Удмуртской Республике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(Администрация муниципального образования «Красногорский район»)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lastRenderedPageBreak/>
        <w:t xml:space="preserve">Отделение </w:t>
      </w:r>
      <w:proofErr w:type="gramStart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–Н</w:t>
      </w:r>
      <w:proofErr w:type="gramEnd"/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Б</w:t>
      </w:r>
      <w:r w:rsidRPr="00E308EC">
        <w:rPr>
          <w:rFonts w:ascii="Times New Roman" w:eastAsia="Lucida Sans Unicode" w:hAnsi="Times New Roman" w:cs="Times New Roman"/>
          <w:i/>
          <w:color w:val="000000"/>
          <w:sz w:val="28"/>
          <w:szCs w:val="28"/>
        </w:rPr>
        <w:t xml:space="preserve"> 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 xml:space="preserve">Удмуртская Республика г. Ижевск, </w:t>
      </w:r>
      <w:r w:rsidRPr="00E308EC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БИК 049401001, ОКТМО 94630000, ИНН 1815001093, КПП 183701001, КБК 52611406025050000430 (</w:t>
      </w:r>
      <w:r w:rsidRPr="00E308EC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Доходы от продажи земельного участка под зданием).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E308EC" w:rsidRPr="00E308EC" w:rsidRDefault="00E308EC" w:rsidP="00E308E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 обязан уплатить в бюджет соответствующую сумму Н</w:t>
      </w:r>
      <w:proofErr w:type="gramStart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 в сл</w:t>
      </w:r>
      <w:proofErr w:type="gramEnd"/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едующем порядке: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Покупателем является юридическое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индивидуальный предприниматель, Покупатель обязан исчислить расчетным методом и уплатить в бюджет соответствующую сумму НДС в порядке, установленном законодательством Российской Федерации;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случае если </w:t>
      </w:r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Поку</w:t>
      </w:r>
      <w:bookmarkStart w:id="2" w:name="_GoBack"/>
      <w:bookmarkEnd w:id="2"/>
      <w:r w:rsidRPr="004268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пателем является физическое лицо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E308EC" w:rsidRPr="00E308EC" w:rsidRDefault="00E308EC" w:rsidP="00E308EC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НДС: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 xml:space="preserve">ИНН 1815001093, КПП 183701001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УФК по Удмуртской Республике (Администрация муниципального образования «Красногорский район»</w:t>
      </w:r>
      <w:r w:rsidRPr="00E30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л/с 05133005550)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р/с 40302810294013000127 ОТДЕЛЕНИЕ-НБ Удмуртская Республика </w:t>
      </w:r>
      <w:proofErr w:type="spell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.И</w:t>
      </w:r>
      <w:proofErr w:type="gram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жевск</w:t>
      </w:r>
      <w:proofErr w:type="spellEnd"/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308EC" w:rsidRPr="00E308EC" w:rsidRDefault="00E308EC" w:rsidP="00E308EC">
      <w:pPr>
        <w:widowControl w:val="0"/>
        <w:tabs>
          <w:tab w:val="left" w:pos="49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049401001, ОКТМО 94630000,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</w:rPr>
        <w:t>В назначении платежа указать: НДС.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ОСОБЫЕ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получения окончательного платежа Покупатель и Продавец подписывают акт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просрочки оплаты Покупатель уплачивает пени в размере 1/300 ключевой ставки Банка России за каждый день просрочки.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 ДОГОВОРА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Расходы по регистрации перехода права собственности несет Покупатель.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Содержание статей 209, 210 Гражданского кодекса РФ, а также правовые последствия заключаемого договора сторонам известны.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Споры, возникшие при исполнении настоящего договора, разрешаются в судебном порядке.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составлен в 3-х экземплярах, 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регистрирующего органа.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474" w:rsidRDefault="00496474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АДРЕСА И РЕКВИЗИТЫ СТОРОН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«Красногорский район»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427650,Удмуртская Республика, Красногорский район</w:t>
      </w:r>
      <w:r w:rsidRPr="00E3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Красногорское, ул</w:t>
      </w:r>
      <w:proofErr w:type="gram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енина,д.64,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тел.8341-64-21600, ИНН 1815001093, КПП 18370100</w:t>
      </w: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Покупатель: ________________________________________________________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75"/>
        <w:gridCol w:w="4425"/>
      </w:tblGrid>
      <w:tr w:rsidR="00E308EC" w:rsidRPr="00E308EC" w:rsidTr="00E308E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Продавца: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«Красногорский район»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В.С. 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    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8EC" w:rsidRPr="00E308EC" w:rsidRDefault="00E308EC" w:rsidP="00E308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E3B" w:rsidRDefault="00F67E3B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Покупателя:</w:t>
            </w:r>
          </w:p>
          <w:p w:rsidR="00E308EC" w:rsidRPr="00E308EC" w:rsidRDefault="00E308EC" w:rsidP="00E308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E308EC" w:rsidRPr="00E308EC" w:rsidRDefault="00E308EC" w:rsidP="00E308EC">
            <w:pPr>
              <w:widowControl w:val="0"/>
              <w:tabs>
                <w:tab w:val="left" w:pos="13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__________________________</w:t>
            </w:r>
          </w:p>
        </w:tc>
      </w:tr>
    </w:tbl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08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C" w:rsidRPr="00E308EC" w:rsidRDefault="00E308EC" w:rsidP="00E308EC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ПЕРЕДАТОЧНЫЙ АКТ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b/>
          <w:bCs/>
          <w:sz w:val="24"/>
          <w:szCs w:val="24"/>
        </w:rPr>
        <w:t>с. Красногорское                                                                     «_____» ______________ 2020 г.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308EC" w:rsidRPr="00E308EC" w:rsidRDefault="00E308EC" w:rsidP="00E308E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«Красногорский район», действующая от имени муниципального образования «Красногорский район», именуемая в дальнейшем </w:t>
      </w:r>
      <w:r w:rsidRPr="00E308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E308EC">
        <w:rPr>
          <w:rFonts w:ascii="Times New Roman" w:eastAsia="Calibri" w:hAnsi="Times New Roman" w:cs="Times New Roman"/>
          <w:color w:val="000000"/>
          <w:sz w:val="24"/>
          <w:szCs w:val="24"/>
        </w:rPr>
        <w:t>, в лице Главы муниципального образования «Красногорский район» Корепанова Владимира Серафимовича, действующего на основании Устава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_______________________ в лице _________________, </w:t>
      </w:r>
      <w:proofErr w:type="spellStart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на основании _________________, именуем____ в дальнейшем «Покупатель», с другой стороны, </w:t>
      </w:r>
      <w:r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40641"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</w:t>
      </w:r>
      <w:r w:rsidR="00140641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B" w:rsidRPr="00140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="00F67E3B" w:rsidRPr="00F67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_________2020 г. № _____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</w:t>
      </w:r>
      <w:r w:rsidRPr="00E308EC">
        <w:rPr>
          <w:rFonts w:ascii="Times New Roman" w:eastAsia="Lucida Sans Unicode" w:hAnsi="Times New Roman" w:cs="Times New Roman"/>
          <w:sz w:val="24"/>
          <w:szCs w:val="24"/>
        </w:rPr>
        <w:t>настоящий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передаточный акт:</w:t>
      </w:r>
    </w:p>
    <w:p w:rsidR="00E308EC" w:rsidRPr="00E308EC" w:rsidRDefault="00E308EC" w:rsidP="00E308E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1. Продавец передал, а Покупатель принял в собственность следующее недвижимое имущество: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комплекс ветстанции, назначение: нежилое здание, 1-этажное, общая площадь 360,4 кв. м, инв. № 1937, лит. А, 1981 года постройки, кадастровый номер 18:15:021001:400,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, ул. Восточная, д.47;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земельный участок, кадастровый номер: 18:15:021002:560, категория земель: земли населенных пунктов, разрешенное использование: амбулаторное ветеринарное обслуживание (3.10.1), общей площадью 779,0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кв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расположенный по адресу: Удмуртская Республика, Красногорский район, д. </w:t>
      </w:r>
      <w:proofErr w:type="spell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Агриколь</w:t>
      </w:r>
      <w:proofErr w:type="spell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ул. Восточная, д.47, </w:t>
      </w:r>
      <w:proofErr w:type="gramStart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>занимаемый</w:t>
      </w:r>
      <w:proofErr w:type="gramEnd"/>
      <w:r w:rsidRPr="00E308E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вышеуказанным объектом недвижимости и необходимый для его использования.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2. В соответствии с договором купли-продажи от ____________2020 года № __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Продавец передал необходимые документы на имущество.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3. Претензий у Покупателя по принимаемому имуществу нет.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4. Денежный расчет произведен согласно условиям Договора купли-продажи </w:t>
      </w:r>
      <w:proofErr w:type="gramStart"/>
      <w:r w:rsidRPr="00E308EC">
        <w:rPr>
          <w:rFonts w:ascii="Times New Roman" w:eastAsia="Lucida Sans Unicode" w:hAnsi="Times New Roman" w:cs="Times New Roman"/>
          <w:sz w:val="24"/>
          <w:szCs w:val="24"/>
        </w:rPr>
        <w:t>от</w:t>
      </w:r>
      <w:proofErr w:type="gramEnd"/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 ___________ №___.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5. Риск случайной гибели или повреждения имущества переходит на Покупателя с момента подписания настоящего акта.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 xml:space="preserve">6. Настоящий акт составлен в трех экземплярах, </w:t>
      </w: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равную юридическую силу: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Продавца,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Покупателя,</w:t>
      </w:r>
    </w:p>
    <w:p w:rsidR="00E308EC" w:rsidRPr="00E308EC" w:rsidRDefault="00E308EC" w:rsidP="00E308EC">
      <w:pPr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регистрирующего органа.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E308EC">
        <w:rPr>
          <w:rFonts w:ascii="Times New Roman" w:eastAsia="Lucida Sans Unicode" w:hAnsi="Times New Roman" w:cs="Times New Roman"/>
          <w:sz w:val="24"/>
          <w:szCs w:val="24"/>
        </w:rPr>
        <w:t>РЕКВИЗИТЫ И ПОДПИСИ СТОРОН:</w:t>
      </w:r>
    </w:p>
    <w:p w:rsidR="00E308EC" w:rsidRPr="00E308EC" w:rsidRDefault="00E308EC" w:rsidP="00E308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E308EC" w:rsidRPr="00E308EC" w:rsidTr="00E308E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427650,Удмуртская Республика, Красногорский район, с. Красногорское, ул</w:t>
            </w:r>
            <w:proofErr w:type="gram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тел.8341-64-21600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1815001093, КПП 183701001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 образования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«Красногорский район»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В.С.Корепанов</w:t>
            </w:r>
            <w:proofErr w:type="spellEnd"/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ПОКУПАТЕЛЬ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</w:t>
            </w: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“_____” ______________ 2020г.</w:t>
            </w:r>
          </w:p>
          <w:p w:rsidR="00E308EC" w:rsidRPr="00E308EC" w:rsidRDefault="00E308EC" w:rsidP="00E308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08EC" w:rsidRDefault="00E308EC"/>
    <w:sectPr w:rsidR="00E308EC" w:rsidSect="00A936C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1C" w:rsidRDefault="0082381C" w:rsidP="00683E5A">
      <w:pPr>
        <w:spacing w:after="0" w:line="240" w:lineRule="auto"/>
      </w:pPr>
      <w:r>
        <w:separator/>
      </w:r>
    </w:p>
  </w:endnote>
  <w:endnote w:type="continuationSeparator" w:id="0">
    <w:p w:rsidR="0082381C" w:rsidRDefault="0082381C" w:rsidP="0068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1C" w:rsidRDefault="0082381C" w:rsidP="00683E5A">
      <w:pPr>
        <w:spacing w:after="0" w:line="240" w:lineRule="auto"/>
      </w:pPr>
      <w:r>
        <w:separator/>
      </w:r>
    </w:p>
  </w:footnote>
  <w:footnote w:type="continuationSeparator" w:id="0">
    <w:p w:rsidR="0082381C" w:rsidRDefault="0082381C" w:rsidP="0068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13D45116"/>
    <w:multiLevelType w:val="hybridMultilevel"/>
    <w:tmpl w:val="1AA0C8C8"/>
    <w:lvl w:ilvl="0" w:tplc="FCA284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4C55"/>
    <w:multiLevelType w:val="hybridMultilevel"/>
    <w:tmpl w:val="4866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B5E"/>
    <w:multiLevelType w:val="hybridMultilevel"/>
    <w:tmpl w:val="F432A318"/>
    <w:lvl w:ilvl="0" w:tplc="76C84E0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3DFC"/>
    <w:multiLevelType w:val="hybridMultilevel"/>
    <w:tmpl w:val="4D0631CA"/>
    <w:lvl w:ilvl="0" w:tplc="208E6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37B8"/>
    <w:multiLevelType w:val="hybridMultilevel"/>
    <w:tmpl w:val="BD8C4F92"/>
    <w:lvl w:ilvl="0" w:tplc="CF1CDA6A">
      <w:start w:val="1"/>
      <w:numFmt w:val="decimal"/>
      <w:lvlText w:val="%1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8C4DC3"/>
    <w:multiLevelType w:val="hybridMultilevel"/>
    <w:tmpl w:val="37AC327C"/>
    <w:lvl w:ilvl="0" w:tplc="0B3EB09E">
      <w:start w:val="1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D29551B"/>
    <w:multiLevelType w:val="hybridMultilevel"/>
    <w:tmpl w:val="12A48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725E6"/>
    <w:multiLevelType w:val="hybridMultilevel"/>
    <w:tmpl w:val="D0C4AC28"/>
    <w:lvl w:ilvl="0" w:tplc="65E0C85A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3B75A0"/>
    <w:multiLevelType w:val="hybridMultilevel"/>
    <w:tmpl w:val="D23A98C0"/>
    <w:lvl w:ilvl="0" w:tplc="CF3E27E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7FCC"/>
    <w:multiLevelType w:val="hybridMultilevel"/>
    <w:tmpl w:val="53AA218E"/>
    <w:lvl w:ilvl="0" w:tplc="8C3444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D99"/>
    <w:multiLevelType w:val="hybridMultilevel"/>
    <w:tmpl w:val="8FFE6B78"/>
    <w:lvl w:ilvl="0" w:tplc="C91CB8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94C8D"/>
    <w:multiLevelType w:val="hybridMultilevel"/>
    <w:tmpl w:val="A76E9506"/>
    <w:lvl w:ilvl="0" w:tplc="A03238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C5111"/>
    <w:multiLevelType w:val="hybridMultilevel"/>
    <w:tmpl w:val="E8467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9"/>
    <w:rsid w:val="00061F8E"/>
    <w:rsid w:val="00091F3B"/>
    <w:rsid w:val="000F6387"/>
    <w:rsid w:val="00140641"/>
    <w:rsid w:val="00153B76"/>
    <w:rsid w:val="001B6A67"/>
    <w:rsid w:val="001D73CA"/>
    <w:rsid w:val="001F29EC"/>
    <w:rsid w:val="002108B2"/>
    <w:rsid w:val="002D7149"/>
    <w:rsid w:val="002F118B"/>
    <w:rsid w:val="00303490"/>
    <w:rsid w:val="00335396"/>
    <w:rsid w:val="00395C0E"/>
    <w:rsid w:val="003D659C"/>
    <w:rsid w:val="0042683F"/>
    <w:rsid w:val="00496474"/>
    <w:rsid w:val="004F5FC7"/>
    <w:rsid w:val="0052736F"/>
    <w:rsid w:val="00673DDD"/>
    <w:rsid w:val="00683E5A"/>
    <w:rsid w:val="0068720E"/>
    <w:rsid w:val="0069707E"/>
    <w:rsid w:val="006D17A5"/>
    <w:rsid w:val="007A4790"/>
    <w:rsid w:val="007C47D2"/>
    <w:rsid w:val="0082381C"/>
    <w:rsid w:val="008F525C"/>
    <w:rsid w:val="00915F31"/>
    <w:rsid w:val="009411E2"/>
    <w:rsid w:val="00A45390"/>
    <w:rsid w:val="00A54FD2"/>
    <w:rsid w:val="00A936C8"/>
    <w:rsid w:val="00A95A5B"/>
    <w:rsid w:val="00AB0BA5"/>
    <w:rsid w:val="00DE4009"/>
    <w:rsid w:val="00E308EC"/>
    <w:rsid w:val="00E52F37"/>
    <w:rsid w:val="00E6401C"/>
    <w:rsid w:val="00F301A5"/>
    <w:rsid w:val="00F67E3B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E308EC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paragraph" w:styleId="3">
    <w:name w:val="heading 3"/>
    <w:basedOn w:val="a"/>
    <w:next w:val="a"/>
    <w:link w:val="30"/>
    <w:qFormat/>
    <w:rsid w:val="00E308EC"/>
    <w:pPr>
      <w:keepNext/>
      <w:widowControl w:val="0"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308EC"/>
    <w:rPr>
      <w:rFonts w:ascii="Times New Roman" w:eastAsia="Lucida Sans Unicode" w:hAnsi="Times New Roman" w:cs="Times New Roman"/>
      <w:b/>
      <w:color w:val="000000"/>
      <w:sz w:val="40"/>
      <w:szCs w:val="24"/>
    </w:rPr>
  </w:style>
  <w:style w:type="character" w:customStyle="1" w:styleId="30">
    <w:name w:val="Заголовок 3 Знак"/>
    <w:basedOn w:val="a0"/>
    <w:link w:val="3"/>
    <w:rsid w:val="00E308E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E308EC"/>
  </w:style>
  <w:style w:type="paragraph" w:styleId="a3">
    <w:name w:val="Body Text"/>
    <w:basedOn w:val="a"/>
    <w:link w:val="a4"/>
    <w:rsid w:val="00E308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a5">
    <w:name w:val="Заголовок"/>
    <w:basedOn w:val="a"/>
    <w:next w:val="a3"/>
    <w:rsid w:val="00E308E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</w:rPr>
  </w:style>
  <w:style w:type="paragraph" w:styleId="a6">
    <w:name w:val="Title"/>
    <w:basedOn w:val="a5"/>
    <w:next w:val="a7"/>
    <w:link w:val="a8"/>
    <w:qFormat/>
    <w:rsid w:val="00E308EC"/>
  </w:style>
  <w:style w:type="character" w:customStyle="1" w:styleId="a8">
    <w:name w:val="Название Знак"/>
    <w:basedOn w:val="a0"/>
    <w:link w:val="a6"/>
    <w:rsid w:val="00E308EC"/>
    <w:rPr>
      <w:rFonts w:ascii="Arial" w:eastAsia="Lucida Sans Unicode" w:hAnsi="Arial" w:cs="Tahoma"/>
      <w:color w:val="000000"/>
      <w:sz w:val="28"/>
      <w:szCs w:val="28"/>
    </w:rPr>
  </w:style>
  <w:style w:type="paragraph" w:styleId="a7">
    <w:name w:val="Subtitle"/>
    <w:basedOn w:val="a5"/>
    <w:next w:val="a3"/>
    <w:link w:val="a9"/>
    <w:qFormat/>
    <w:rsid w:val="00E308E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E308EC"/>
    <w:rPr>
      <w:rFonts w:ascii="Arial" w:eastAsia="Lucida Sans Unicode" w:hAnsi="Arial" w:cs="Tahoma"/>
      <w:i/>
      <w:iCs/>
      <w:color w:val="000000"/>
      <w:sz w:val="28"/>
      <w:szCs w:val="28"/>
    </w:rPr>
  </w:style>
  <w:style w:type="paragraph" w:customStyle="1" w:styleId="ConsPlusNormal">
    <w:name w:val="ConsPlusNormal"/>
    <w:rsid w:val="00E30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E308EC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color w:val="000000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E308EC"/>
    <w:rPr>
      <w:rFonts w:ascii="Tahoma" w:eastAsia="Lucida Sans Unicode" w:hAnsi="Tahoma" w:cs="Tahoma"/>
      <w:color w:val="000000"/>
      <w:sz w:val="20"/>
      <w:szCs w:val="20"/>
      <w:shd w:val="clear" w:color="auto" w:fill="000080"/>
    </w:rPr>
  </w:style>
  <w:style w:type="paragraph" w:styleId="21">
    <w:name w:val="Body Text Indent 2"/>
    <w:basedOn w:val="a"/>
    <w:link w:val="22"/>
    <w:rsid w:val="00E308E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08EC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semiHidden/>
    <w:rsid w:val="00E308EC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308EC"/>
    <w:rPr>
      <w:rFonts w:ascii="Tahoma" w:eastAsia="Lucida Sans Unicode" w:hAnsi="Tahoma" w:cs="Tahoma"/>
      <w:color w:val="000000"/>
      <w:sz w:val="16"/>
      <w:szCs w:val="16"/>
    </w:rPr>
  </w:style>
  <w:style w:type="character" w:styleId="ae">
    <w:name w:val="Hyperlink"/>
    <w:rsid w:val="00E308EC"/>
    <w:rPr>
      <w:color w:val="0000FF"/>
      <w:u w:val="single"/>
    </w:rPr>
  </w:style>
  <w:style w:type="character" w:customStyle="1" w:styleId="b-serp-urlitem1">
    <w:name w:val="b-serp-url__item1"/>
    <w:basedOn w:val="a0"/>
    <w:rsid w:val="00E308EC"/>
  </w:style>
  <w:style w:type="paragraph" w:customStyle="1" w:styleId="ConsPlusNonformat">
    <w:name w:val="ConsPlusNonformat"/>
    <w:uiPriority w:val="99"/>
    <w:rsid w:val="00E30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">
    <w:name w:val="FollowedHyperlink"/>
    <w:rsid w:val="00E308EC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308EC"/>
    <w:pPr>
      <w:ind w:left="720"/>
      <w:contextualSpacing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E308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83E5A"/>
  </w:style>
  <w:style w:type="paragraph" w:styleId="af4">
    <w:name w:val="footer"/>
    <w:basedOn w:val="a"/>
    <w:link w:val="af5"/>
    <w:uiPriority w:val="99"/>
    <w:unhideWhenUsed/>
    <w:rsid w:val="0068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83E5A"/>
  </w:style>
  <w:style w:type="paragraph" w:customStyle="1" w:styleId="TextBasTxt">
    <w:name w:val="TextBasTxt"/>
    <w:basedOn w:val="a"/>
    <w:rsid w:val="00E640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consultantplus://offline/ref=478EB9BBC46AC6B01A944807F4BA78AF2F2562BEE90637237C4AB1F185FB2591328B98F1B466B68D1864649980KCd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EB9BBC46AC6B01A944807F4BA78AF2E2F65B2EE0737237C4AB1F185FB2591208BC0F8B161A3D94E3E339480C0A21F70A580C683K2dA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../../../../../../AppData/Roaming/Microsoft/Word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E2F65B2EE0737237C4AB1F185FB2591208BC0FDB564A88E187132C8C597B11E75A582C19C214BCFK5d0J" TargetMode="External"/><Relationship Id="rId10" Type="http://schemas.openxmlformats.org/officeDocument/2006/relationships/hyperlink" Target="http://mo-krasn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consultantplus/offline/ref=8608A915A77589369BD2B7F347595D5ABC538B22E06FA735FD52FF4C23570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6682</Words>
  <Characters>38093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12</cp:revision>
  <cp:lastPrinted>2020-09-01T05:52:00Z</cp:lastPrinted>
  <dcterms:created xsi:type="dcterms:W3CDTF">2020-08-25T11:58:00Z</dcterms:created>
  <dcterms:modified xsi:type="dcterms:W3CDTF">2020-09-01T05:55:00Z</dcterms:modified>
</cp:coreProperties>
</file>